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3F131" w14:textId="1FF6D2FA" w:rsidR="004F4B66" w:rsidRDefault="009A3801">
      <w:pPr>
        <w:rPr>
          <w:b/>
        </w:rPr>
      </w:pPr>
      <w:bookmarkStart w:id="0" w:name="_GoBack"/>
      <w:bookmarkEnd w:id="0"/>
      <w:r>
        <w:rPr>
          <w:b/>
        </w:rPr>
        <w:t>Introduction</w:t>
      </w:r>
    </w:p>
    <w:p w14:paraId="30C2432F" w14:textId="4C54E5B1" w:rsidR="004A060E" w:rsidRDefault="009A3801" w:rsidP="004F4B66">
      <w:r w:rsidRPr="009A3801">
        <w:t xml:space="preserve">The National Hydrogen Strategy determined that </w:t>
      </w:r>
      <w:r>
        <w:t xml:space="preserve">a certificate of origin (or certification) </w:t>
      </w:r>
      <w:r w:rsidR="00A23DF3">
        <w:t xml:space="preserve">scheme was a priority. There has been little obvious action from Government in this space, and </w:t>
      </w:r>
      <w:r w:rsidR="008E5817">
        <w:t xml:space="preserve">AHC members have identified the lack of a scheme poses significant risk to their investment </w:t>
      </w:r>
      <w:r w:rsidR="00345215">
        <w:t>decisions and the progress of the hydrogen industry in Australia.</w:t>
      </w:r>
    </w:p>
    <w:p w14:paraId="49360E48" w14:textId="0B450D8C" w:rsidR="00472661" w:rsidRPr="009A3801" w:rsidRDefault="00472661" w:rsidP="004F4B66">
      <w:r>
        <w:t xml:space="preserve">Therefore, both </w:t>
      </w:r>
      <w:r w:rsidR="0092239A">
        <w:t xml:space="preserve">individual </w:t>
      </w:r>
      <w:r>
        <w:t xml:space="preserve">members and </w:t>
      </w:r>
      <w:r w:rsidR="00A35797">
        <w:t>the</w:t>
      </w:r>
      <w:r>
        <w:t xml:space="preserve"> AHC</w:t>
      </w:r>
      <w:r w:rsidR="00A35797">
        <w:t xml:space="preserve"> </w:t>
      </w:r>
      <w:r w:rsidR="00C8292D">
        <w:t xml:space="preserve">need to advocate strongly into Government </w:t>
      </w:r>
      <w:r w:rsidR="0092239A">
        <w:t xml:space="preserve">a united position on </w:t>
      </w:r>
      <w:r w:rsidR="009E110E">
        <w:t xml:space="preserve">minimal viable </w:t>
      </w:r>
      <w:r w:rsidR="00E41A09">
        <w:t>product of a scheme to enable business decisions to continue.</w:t>
      </w:r>
      <w:r w:rsidR="00F20E2C">
        <w:t xml:space="preserve"> </w:t>
      </w:r>
    </w:p>
    <w:p w14:paraId="16B2315E" w14:textId="2AEF04FC" w:rsidR="004F4B66" w:rsidRDefault="004F4B66" w:rsidP="004F4B66">
      <w:pPr>
        <w:rPr>
          <w:b/>
        </w:rPr>
      </w:pPr>
      <w:r>
        <w:rPr>
          <w:b/>
        </w:rPr>
        <w:t>Purpose</w:t>
      </w:r>
    </w:p>
    <w:p w14:paraId="038311E2" w14:textId="5F61E658" w:rsidR="006C6AB1" w:rsidRPr="006C6AB1" w:rsidRDefault="00614F75">
      <w:r>
        <w:t xml:space="preserve">The purpose of this paper is to </w:t>
      </w:r>
      <w:r w:rsidR="0074799C">
        <w:t>support</w:t>
      </w:r>
      <w:r w:rsidR="005B7657">
        <w:t xml:space="preserve"> the </w:t>
      </w:r>
      <w:r w:rsidR="00F8150E">
        <w:t xml:space="preserve">AHC to agree on a ‘industry’ position to take to the </w:t>
      </w:r>
      <w:r w:rsidR="00D6517F">
        <w:t xml:space="preserve">Stakeholder Workshop on </w:t>
      </w:r>
      <w:r w:rsidR="00D27268">
        <w:t xml:space="preserve">certification being hosted by </w:t>
      </w:r>
      <w:r w:rsidR="0033449F">
        <w:t>the Hydrogen Strategy Team</w:t>
      </w:r>
      <w:r w:rsidR="00A85F68">
        <w:t xml:space="preserve"> (</w:t>
      </w:r>
      <w:r w:rsidR="00FB53C2" w:rsidRPr="00FB53C2">
        <w:t>Department of Industry, Science, Energy and Resources</w:t>
      </w:r>
      <w:r w:rsidR="00FB53C2">
        <w:t xml:space="preserve">) on </w:t>
      </w:r>
      <w:r w:rsidR="0039095E">
        <w:t>27 August.</w:t>
      </w:r>
    </w:p>
    <w:p w14:paraId="7091713D" w14:textId="64394118" w:rsidR="004F4B66" w:rsidRDefault="005111D3">
      <w:pPr>
        <w:rPr>
          <w:b/>
        </w:rPr>
      </w:pPr>
      <w:r>
        <w:rPr>
          <w:b/>
        </w:rPr>
        <w:t xml:space="preserve">Discussion </w:t>
      </w:r>
    </w:p>
    <w:p w14:paraId="74DF1FE8" w14:textId="57C57010" w:rsidR="005111D3" w:rsidRDefault="005111D3">
      <w:r w:rsidRPr="005111D3">
        <w:t>There</w:t>
      </w:r>
      <w:r>
        <w:t xml:space="preserve"> are four </w:t>
      </w:r>
      <w:r w:rsidR="00B15A4B">
        <w:t xml:space="preserve">factors that require consideration to progress a hydrogen </w:t>
      </w:r>
      <w:r w:rsidR="008809EE">
        <w:t>C</w:t>
      </w:r>
      <w:r w:rsidR="00B15A4B">
        <w:t xml:space="preserve">ertificate of </w:t>
      </w:r>
      <w:r w:rsidR="008809EE">
        <w:t>O</w:t>
      </w:r>
      <w:r w:rsidR="00B15A4B">
        <w:t>rigin scheme:</w:t>
      </w:r>
    </w:p>
    <w:p w14:paraId="25F9F96C" w14:textId="0561EAE6" w:rsidR="00B15A4B" w:rsidRPr="008809EE" w:rsidRDefault="00B15A4B" w:rsidP="00B15A4B">
      <w:pPr>
        <w:pStyle w:val="ListParagraph"/>
        <w:numPr>
          <w:ilvl w:val="0"/>
          <w:numId w:val="7"/>
        </w:numPr>
        <w:rPr>
          <w:u w:val="single"/>
        </w:rPr>
      </w:pPr>
      <w:r w:rsidRPr="008809EE">
        <w:rPr>
          <w:u w:val="single"/>
        </w:rPr>
        <w:t>Timing</w:t>
      </w:r>
    </w:p>
    <w:p w14:paraId="187D3666" w14:textId="3262109D" w:rsidR="00B15A4B" w:rsidRDefault="00912F5F" w:rsidP="00B15A4B">
      <w:r>
        <w:t xml:space="preserve">The National Hydrogen Strategy </w:t>
      </w:r>
      <w:r w:rsidR="0091724F">
        <w:t>talks to a</w:t>
      </w:r>
      <w:r w:rsidR="002A2BB0">
        <w:t xml:space="preserve">chieving a mature </w:t>
      </w:r>
      <w:r w:rsidR="00363E8A">
        <w:t xml:space="preserve">hydrogen export industry by 2050. The </w:t>
      </w:r>
      <w:r w:rsidR="00CC2997">
        <w:t>Austr</w:t>
      </w:r>
      <w:r w:rsidR="0026156F">
        <w:t xml:space="preserve">alian Hydrogen Council’s Export Roadmap identifies that in order to achieve this goal, industry will need to start making </w:t>
      </w:r>
      <w:r w:rsidR="0050365E">
        <w:t xml:space="preserve">final investment decisions on commercial scale projects </w:t>
      </w:r>
      <w:r w:rsidR="001D674A">
        <w:t>in early</w:t>
      </w:r>
      <w:r w:rsidR="0050365E">
        <w:t xml:space="preserve"> 2021.</w:t>
      </w:r>
      <w:r w:rsidR="008809EE">
        <w:t xml:space="preserve"> </w:t>
      </w:r>
      <w:r w:rsidR="0037637B">
        <w:t xml:space="preserve">Industry </w:t>
      </w:r>
      <w:r w:rsidR="00666D7A">
        <w:t xml:space="preserve">is not likely to </w:t>
      </w:r>
      <w:r w:rsidR="0037637B">
        <w:t xml:space="preserve">take investment decisions without some certainty </w:t>
      </w:r>
      <w:r w:rsidR="005643A4">
        <w:t xml:space="preserve">around </w:t>
      </w:r>
      <w:r w:rsidR="00666D7A">
        <w:t>at least classes of hydrogen.</w:t>
      </w:r>
    </w:p>
    <w:p w14:paraId="5C7978D4" w14:textId="604905B3" w:rsidR="000C166E" w:rsidRDefault="000C166E" w:rsidP="000C166E">
      <w:pPr>
        <w:pStyle w:val="ListParagraph"/>
        <w:numPr>
          <w:ilvl w:val="0"/>
          <w:numId w:val="8"/>
        </w:numPr>
      </w:pPr>
      <w:r>
        <w:t xml:space="preserve">What </w:t>
      </w:r>
      <w:r w:rsidR="006D0A41">
        <w:t xml:space="preserve">are the </w:t>
      </w:r>
      <w:r>
        <w:t>minimum</w:t>
      </w:r>
      <w:r w:rsidR="006D0A41">
        <w:t xml:space="preserve"> needs from </w:t>
      </w:r>
      <w:r w:rsidR="00330A4E">
        <w:t xml:space="preserve">your </w:t>
      </w:r>
      <w:r w:rsidR="00FD68F3">
        <w:t>company/</w:t>
      </w:r>
      <w:r w:rsidR="006D0A41">
        <w:t>industry to take FID</w:t>
      </w:r>
      <w:r w:rsidR="00A301A1">
        <w:t xml:space="preserve"> in 2021</w:t>
      </w:r>
      <w:r w:rsidR="006D0A41">
        <w:t>?</w:t>
      </w:r>
    </w:p>
    <w:p w14:paraId="1AD1987D" w14:textId="6793A8FC" w:rsidR="00FE4C5C" w:rsidRDefault="00FE4C5C" w:rsidP="00FE4C5C">
      <w:r>
        <w:t xml:space="preserve">Refer to attachment 1 for a </w:t>
      </w:r>
      <w:r w:rsidR="00DB3933">
        <w:t>high-level</w:t>
      </w:r>
      <w:r>
        <w:t xml:space="preserve"> time frame on certification in relation to the </w:t>
      </w:r>
      <w:r w:rsidR="00154AB3">
        <w:t>E</w:t>
      </w:r>
      <w:r>
        <w:t xml:space="preserve">xport </w:t>
      </w:r>
      <w:r w:rsidR="00154AB3">
        <w:t>R</w:t>
      </w:r>
      <w:r>
        <w:t>oadmap.</w:t>
      </w:r>
    </w:p>
    <w:p w14:paraId="5B39D2E4" w14:textId="710A49F8" w:rsidR="0041696B" w:rsidRDefault="0041696B" w:rsidP="00C97B40">
      <w:pPr>
        <w:pStyle w:val="ListParagraph"/>
        <w:numPr>
          <w:ilvl w:val="0"/>
          <w:numId w:val="7"/>
        </w:numPr>
        <w:rPr>
          <w:u w:val="single"/>
        </w:rPr>
      </w:pPr>
      <w:r w:rsidRPr="00C97B40">
        <w:rPr>
          <w:u w:val="single"/>
        </w:rPr>
        <w:t>Scope</w:t>
      </w:r>
    </w:p>
    <w:p w14:paraId="32C4A69B" w14:textId="1C098F67" w:rsidR="00C97B40" w:rsidRDefault="000C166E" w:rsidP="00C97B40">
      <w:r>
        <w:t xml:space="preserve">The scope of the scheme </w:t>
      </w:r>
      <w:r w:rsidR="00730431">
        <w:t xml:space="preserve">significantly </w:t>
      </w:r>
      <w:r w:rsidR="00364576">
        <w:t>impacts timing</w:t>
      </w:r>
      <w:r w:rsidR="00730431">
        <w:t>:</w:t>
      </w:r>
      <w:r w:rsidR="00364576">
        <w:t xml:space="preserve"> the more comprehensive the scheme, the longer it will take to finalise. However, there is opportunity </w:t>
      </w:r>
      <w:r w:rsidR="000D2B5B">
        <w:t>to ensure the scheme is designed so hydrogen products (e.g. ammonia or blended gas) can be accommodated</w:t>
      </w:r>
      <w:r w:rsidR="006F29EC">
        <w:t xml:space="preserve"> in future.</w:t>
      </w:r>
    </w:p>
    <w:p w14:paraId="1B83768F" w14:textId="0B93D865" w:rsidR="00156D10" w:rsidRDefault="00156D10" w:rsidP="00C97B40">
      <w:r>
        <w:t xml:space="preserve">Conversely, there is opportunity to include </w:t>
      </w:r>
      <w:r w:rsidR="0051517A">
        <w:t xml:space="preserve">some classes of </w:t>
      </w:r>
      <w:r>
        <w:t>hydrogen into the scope of existing schemes.</w:t>
      </w:r>
      <w:r w:rsidR="0051517A">
        <w:t xml:space="preserve"> For </w:t>
      </w:r>
      <w:r w:rsidR="008C1AC0">
        <w:t xml:space="preserve">example, the Renewable Electricity Scheme </w:t>
      </w:r>
      <w:r w:rsidR="00437B9B">
        <w:t>and /or Green Power c</w:t>
      </w:r>
      <w:r w:rsidR="008C1AC0">
        <w:t>ould be considered for water derived hydrogen.</w:t>
      </w:r>
    </w:p>
    <w:p w14:paraId="4C5D4915" w14:textId="7758A818" w:rsidR="00156D10" w:rsidRDefault="009F31CD" w:rsidP="00156D10">
      <w:pPr>
        <w:pStyle w:val="ListParagraph"/>
        <w:numPr>
          <w:ilvl w:val="0"/>
          <w:numId w:val="8"/>
        </w:numPr>
      </w:pPr>
      <w:r>
        <w:t xml:space="preserve">Which schemes </w:t>
      </w:r>
      <w:r w:rsidR="0097106F">
        <w:t>could be expanded to include hydrogen?</w:t>
      </w:r>
    </w:p>
    <w:p w14:paraId="1F35AB7D" w14:textId="5EF711AC" w:rsidR="00E21D26" w:rsidRDefault="00E21D26" w:rsidP="00E21D26">
      <w:pPr>
        <w:pStyle w:val="ListParagraph"/>
        <w:numPr>
          <w:ilvl w:val="0"/>
          <w:numId w:val="8"/>
        </w:numPr>
      </w:pPr>
      <w:r>
        <w:t>How can we use scope to de-risk timing?</w:t>
      </w:r>
    </w:p>
    <w:p w14:paraId="6AEADBBF" w14:textId="213ECA06" w:rsidR="00D001A7" w:rsidRDefault="00D001A7" w:rsidP="00A25447">
      <w:r w:rsidRPr="00D001A7">
        <w:t>One way to de-risk timing is to not include certification of biomethane, green gas or blended gas now. The hydrogen input into blended gas is considered, but not the final gas blend product.</w:t>
      </w:r>
    </w:p>
    <w:p w14:paraId="26884DFB" w14:textId="2E46BDC4" w:rsidR="00A25447" w:rsidRDefault="00FD44C9" w:rsidP="00A25447">
      <w:r>
        <w:t xml:space="preserve">The scope also needs to consider </w:t>
      </w:r>
      <w:r w:rsidR="00DB0E97">
        <w:t>certificate</w:t>
      </w:r>
      <w:r>
        <w:t xml:space="preserve"> boundaries. </w:t>
      </w:r>
      <w:r w:rsidR="000430DC">
        <w:t xml:space="preserve">Certificate boundaries </w:t>
      </w:r>
      <w:r w:rsidR="00200D84">
        <w:t>should be considered in conjunction with definitions</w:t>
      </w:r>
      <w:r w:rsidR="0095166D">
        <w:t xml:space="preserve"> and their subsequent accounting methodologies.</w:t>
      </w:r>
      <w:r w:rsidR="00200D84">
        <w:t xml:space="preserve"> </w:t>
      </w:r>
      <w:r w:rsidR="0095166D">
        <w:t xml:space="preserve">It is proposed that certification </w:t>
      </w:r>
      <w:r w:rsidR="00FD1F5A">
        <w:t>covers from Scope 1 to Scope 3.</w:t>
      </w:r>
      <w:r w:rsidR="00673D84">
        <w:t xml:space="preserve"> </w:t>
      </w:r>
    </w:p>
    <w:p w14:paraId="05ED7949" w14:textId="4752CC3C" w:rsidR="00EA715B" w:rsidRDefault="003248EA" w:rsidP="00EA715B">
      <w:pPr>
        <w:pStyle w:val="ListParagraph"/>
        <w:numPr>
          <w:ilvl w:val="0"/>
          <w:numId w:val="8"/>
        </w:numPr>
      </w:pPr>
      <w:r>
        <w:t>Should</w:t>
      </w:r>
      <w:r w:rsidR="009E2177">
        <w:t xml:space="preserve"> a minimal viable product of a scheme inc</w:t>
      </w:r>
      <w:r w:rsidR="00EA715B">
        <w:t>lude Scope 3?</w:t>
      </w:r>
    </w:p>
    <w:p w14:paraId="23687D99" w14:textId="77777777" w:rsidR="00D001A7" w:rsidRDefault="00D001A7" w:rsidP="00D001A7"/>
    <w:p w14:paraId="1D7DF806" w14:textId="016B42BC" w:rsidR="008D7761" w:rsidRPr="008D7761" w:rsidRDefault="008D7761" w:rsidP="008D7761">
      <w:pPr>
        <w:pStyle w:val="ListParagraph"/>
        <w:numPr>
          <w:ilvl w:val="0"/>
          <w:numId w:val="7"/>
        </w:numPr>
        <w:rPr>
          <w:u w:val="single"/>
        </w:rPr>
      </w:pPr>
      <w:r w:rsidRPr="008D7761">
        <w:rPr>
          <w:u w:val="single"/>
        </w:rPr>
        <w:lastRenderedPageBreak/>
        <w:t>Definitions</w:t>
      </w:r>
    </w:p>
    <w:p w14:paraId="0AEBD01C" w14:textId="2052B4D3" w:rsidR="008D7761" w:rsidRDefault="008D7761" w:rsidP="008D7761">
      <w:r>
        <w:t xml:space="preserve">Defining classes of hydrogen </w:t>
      </w:r>
      <w:r w:rsidR="00A25447">
        <w:t xml:space="preserve">is key to meeting customer </w:t>
      </w:r>
      <w:r w:rsidR="00E9621A">
        <w:t xml:space="preserve">needs. Japan has already indicated it wants clarity on </w:t>
      </w:r>
      <w:r w:rsidR="005C47BF">
        <w:t>hydrogen created using renewable electricity compared to other production methods</w:t>
      </w:r>
      <w:r w:rsidR="00792968">
        <w:t>.</w:t>
      </w:r>
      <w:r w:rsidR="006207AB">
        <w:t xml:space="preserve"> </w:t>
      </w:r>
      <w:r w:rsidR="00792968">
        <w:t xml:space="preserve">Defining hydrogen classes does not make one ‘better’ than another, it </w:t>
      </w:r>
      <w:r w:rsidR="0037330F">
        <w:t>simply</w:t>
      </w:r>
      <w:r w:rsidR="00792968">
        <w:t xml:space="preserve"> enables informed decision making from consumers.</w:t>
      </w:r>
    </w:p>
    <w:p w14:paraId="7A012B15" w14:textId="3841F721" w:rsidR="0037330F" w:rsidRDefault="005B439D" w:rsidP="008D7761">
      <w:r>
        <w:t xml:space="preserve">It is proposed that rather than relying </w:t>
      </w:r>
      <w:r w:rsidR="00CB6135">
        <w:t xml:space="preserve">solely </w:t>
      </w:r>
      <w:r>
        <w:t xml:space="preserve">on </w:t>
      </w:r>
      <w:r w:rsidR="002938C0">
        <w:t>emission factors</w:t>
      </w:r>
      <w:r>
        <w:t xml:space="preserve"> to define </w:t>
      </w:r>
      <w:r w:rsidR="002938C0">
        <w:t xml:space="preserve">all </w:t>
      </w:r>
      <w:r>
        <w:t xml:space="preserve">hydrogen </w:t>
      </w:r>
      <w:r w:rsidR="003C047C">
        <w:t xml:space="preserve">classes, </w:t>
      </w:r>
      <w:r w:rsidR="00B90922">
        <w:t xml:space="preserve">a combined method should be adopted. </w:t>
      </w:r>
      <w:r w:rsidR="008C1B4B">
        <w:t>Product ‘ingredient’ should form the foundation of classification:</w:t>
      </w:r>
    </w:p>
    <w:p w14:paraId="6B5C7E36" w14:textId="7A272A40" w:rsidR="008C1B4B" w:rsidRDefault="00442BEA" w:rsidP="004F2EB2">
      <w:pPr>
        <w:pStyle w:val="ListParagraph"/>
        <w:numPr>
          <w:ilvl w:val="0"/>
          <w:numId w:val="12"/>
        </w:numPr>
      </w:pPr>
      <w:r>
        <w:t>Water derived</w:t>
      </w:r>
    </w:p>
    <w:p w14:paraId="4B8CD6E8" w14:textId="7BFB7037" w:rsidR="00442BEA" w:rsidRDefault="23E45905" w:rsidP="004F2EB2">
      <w:pPr>
        <w:pStyle w:val="ListParagraph"/>
        <w:numPr>
          <w:ilvl w:val="0"/>
          <w:numId w:val="12"/>
        </w:numPr>
      </w:pPr>
      <w:r>
        <w:t>Methane</w:t>
      </w:r>
      <w:r w:rsidR="00442BEA">
        <w:t xml:space="preserve"> derived</w:t>
      </w:r>
    </w:p>
    <w:p w14:paraId="212B4385" w14:textId="39E69EB4" w:rsidR="37779E0C" w:rsidRDefault="37779E0C" w:rsidP="1D0D3012">
      <w:pPr>
        <w:pStyle w:val="ListParagraph"/>
        <w:numPr>
          <w:ilvl w:val="0"/>
          <w:numId w:val="12"/>
        </w:numPr>
      </w:pPr>
      <w:r>
        <w:t>Coal derived</w:t>
      </w:r>
    </w:p>
    <w:p w14:paraId="0231D9CD" w14:textId="0D9748DE" w:rsidR="00442BEA" w:rsidRDefault="00470083" w:rsidP="00442BEA">
      <w:r>
        <w:t xml:space="preserve">Each of these categories could then be tiered </w:t>
      </w:r>
      <w:r w:rsidR="00D07450">
        <w:t>based on:</w:t>
      </w:r>
    </w:p>
    <w:p w14:paraId="7FD32777" w14:textId="012811FD" w:rsidR="00D07450" w:rsidRPr="00D07450" w:rsidRDefault="00D07450" w:rsidP="00D07450">
      <w:pPr>
        <w:rPr>
          <w:i/>
        </w:rPr>
      </w:pPr>
      <w:r w:rsidRPr="00D07450">
        <w:rPr>
          <w:i/>
        </w:rPr>
        <w:t>Water derived:</w:t>
      </w:r>
    </w:p>
    <w:p w14:paraId="7946BFD1" w14:textId="04D48194" w:rsidR="00D07450" w:rsidRDefault="00D07450" w:rsidP="005F0A2E">
      <w:pPr>
        <w:pStyle w:val="ListParagraph"/>
        <w:numPr>
          <w:ilvl w:val="0"/>
          <w:numId w:val="10"/>
        </w:numPr>
      </w:pPr>
      <w:r>
        <w:t>Sustainability of water input for production</w:t>
      </w:r>
    </w:p>
    <w:p w14:paraId="3E12FD60" w14:textId="2BC121D2" w:rsidR="00D07450" w:rsidRDefault="0097552C" w:rsidP="005F0A2E">
      <w:pPr>
        <w:pStyle w:val="ListParagraph"/>
        <w:numPr>
          <w:ilvl w:val="0"/>
          <w:numId w:val="10"/>
        </w:numPr>
      </w:pPr>
      <w:r>
        <w:t xml:space="preserve">Level of renewable electricity </w:t>
      </w:r>
      <w:r w:rsidR="00924F8A">
        <w:t>used for production</w:t>
      </w:r>
      <w:r>
        <w:t xml:space="preserve"> </w:t>
      </w:r>
      <w:r w:rsidR="008414F3">
        <w:t>–</w:t>
      </w:r>
      <w:r w:rsidR="005F0A2E">
        <w:t xml:space="preserve"> </w:t>
      </w:r>
      <w:r w:rsidR="009322A9">
        <w:t>tiers</w:t>
      </w:r>
      <w:r w:rsidR="008414F3">
        <w:t xml:space="preserve"> could be percentage or REC balanced or emission factor related</w:t>
      </w:r>
    </w:p>
    <w:p w14:paraId="00D4D43C" w14:textId="5204F0BB" w:rsidR="009322A9" w:rsidRDefault="009322A9" w:rsidP="005F0A2E">
      <w:pPr>
        <w:pStyle w:val="ListParagraph"/>
        <w:numPr>
          <w:ilvl w:val="0"/>
          <w:numId w:val="10"/>
        </w:numPr>
      </w:pPr>
      <w:r>
        <w:t>Scope 3 – emission factor related</w:t>
      </w:r>
    </w:p>
    <w:p w14:paraId="22941E76" w14:textId="11649F6A" w:rsidR="00A9368C" w:rsidRPr="00592DB6" w:rsidRDefault="00592DB6" w:rsidP="00A9368C">
      <w:pPr>
        <w:rPr>
          <w:i/>
        </w:rPr>
      </w:pPr>
      <w:r w:rsidRPr="00592DB6">
        <w:rPr>
          <w:i/>
        </w:rPr>
        <w:t>Coal/methane</w:t>
      </w:r>
      <w:r w:rsidR="00A9368C" w:rsidRPr="00592DB6">
        <w:rPr>
          <w:i/>
        </w:rPr>
        <w:t xml:space="preserve"> derived</w:t>
      </w:r>
      <w:r>
        <w:rPr>
          <w:i/>
        </w:rPr>
        <w:t>:</w:t>
      </w:r>
    </w:p>
    <w:p w14:paraId="18EE922E" w14:textId="5E790AA4" w:rsidR="00A9368C" w:rsidRDefault="00367C47" w:rsidP="00367C47">
      <w:pPr>
        <w:pStyle w:val="ListParagraph"/>
        <w:numPr>
          <w:ilvl w:val="0"/>
          <w:numId w:val="11"/>
        </w:numPr>
      </w:pPr>
      <w:r>
        <w:t>Emissions factor</w:t>
      </w:r>
    </w:p>
    <w:p w14:paraId="649A2CF0" w14:textId="2F2F07DF" w:rsidR="00BB2C0C" w:rsidRDefault="00A57492" w:rsidP="00367C47">
      <w:pPr>
        <w:pStyle w:val="ListParagraph"/>
        <w:numPr>
          <w:ilvl w:val="0"/>
          <w:numId w:val="11"/>
        </w:numPr>
      </w:pPr>
      <w:r>
        <w:t xml:space="preserve">Offset methodology </w:t>
      </w:r>
      <w:r w:rsidR="00287B44">
        <w:t xml:space="preserve">(e.g. </w:t>
      </w:r>
      <w:r w:rsidR="004A7D69">
        <w:t>are</w:t>
      </w:r>
      <w:r w:rsidR="005B69BA">
        <w:t xml:space="preserve"> </w:t>
      </w:r>
      <w:r w:rsidR="00CC3ABD">
        <w:t>science-based</w:t>
      </w:r>
      <w:r>
        <w:t xml:space="preserve"> targets</w:t>
      </w:r>
      <w:r w:rsidR="005B69BA">
        <w:t xml:space="preserve"> </w:t>
      </w:r>
      <w:r w:rsidR="004A7D69">
        <w:t>in place?</w:t>
      </w:r>
      <w:r w:rsidR="005B69BA">
        <w:t>)</w:t>
      </w:r>
    </w:p>
    <w:p w14:paraId="2731F4B2" w14:textId="15C21F93" w:rsidR="00CC3ABD" w:rsidRDefault="00CC3ABD" w:rsidP="00367C47">
      <w:pPr>
        <w:pStyle w:val="ListParagraph"/>
        <w:numPr>
          <w:ilvl w:val="0"/>
          <w:numId w:val="11"/>
        </w:numPr>
      </w:pPr>
      <w:r>
        <w:t>Scope 3 – emission factor related</w:t>
      </w:r>
    </w:p>
    <w:p w14:paraId="5342109C" w14:textId="3C4DF4AB" w:rsidR="001926D9" w:rsidRDefault="001926D9" w:rsidP="001926D9">
      <w:r>
        <w:t xml:space="preserve">To make this </w:t>
      </w:r>
      <w:r w:rsidR="003854A8">
        <w:t xml:space="preserve">option feasible, a limited combination of inputs is </w:t>
      </w:r>
      <w:r w:rsidR="00D6759F">
        <w:t>required.</w:t>
      </w:r>
    </w:p>
    <w:p w14:paraId="567F0C1E" w14:textId="03A82B26" w:rsidR="00CC3ABD" w:rsidRDefault="00391410" w:rsidP="00CC3ABD">
      <w:r>
        <w:t>An example of how this could be considered is outlined below:</w:t>
      </w:r>
    </w:p>
    <w:tbl>
      <w:tblPr>
        <w:tblW w:w="7792" w:type="dxa"/>
        <w:tblLook w:val="04A0" w:firstRow="1" w:lastRow="0" w:firstColumn="1" w:lastColumn="0" w:noHBand="0" w:noVBand="1"/>
      </w:tblPr>
      <w:tblGrid>
        <w:gridCol w:w="1840"/>
        <w:gridCol w:w="1275"/>
        <w:gridCol w:w="2267"/>
        <w:gridCol w:w="1843"/>
        <w:gridCol w:w="568"/>
      </w:tblGrid>
      <w:tr w:rsidR="00D939CA" w:rsidRPr="00D939CA" w14:paraId="33A889C8" w14:textId="77777777" w:rsidTr="002407D0">
        <w:trPr>
          <w:trHeight w:val="6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BF6C" w14:textId="77777777" w:rsidR="00D939CA" w:rsidRPr="00D939CA" w:rsidRDefault="00D939CA" w:rsidP="00D9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39C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4F27" w14:textId="77777777" w:rsidR="00D939CA" w:rsidRPr="00D939CA" w:rsidRDefault="00D939CA" w:rsidP="00D93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939C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Sustainable water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587F" w14:textId="77777777" w:rsidR="00D939CA" w:rsidRPr="00D939CA" w:rsidRDefault="00D939CA" w:rsidP="00D93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939C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Renewable electricity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C500" w14:textId="6D3FE138" w:rsidR="00D939CA" w:rsidRPr="00D939CA" w:rsidRDefault="00D939CA" w:rsidP="00D93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939C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Scope 3 -emission</w:t>
            </w:r>
            <w:r w:rsidR="002407D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41B4" w14:textId="77777777" w:rsidR="00D939CA" w:rsidRPr="00D939CA" w:rsidRDefault="00D939CA" w:rsidP="00D93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939C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Tier</w:t>
            </w:r>
          </w:p>
        </w:tc>
      </w:tr>
      <w:tr w:rsidR="00D939CA" w:rsidRPr="00D939CA" w14:paraId="57C0E2AD" w14:textId="77777777" w:rsidTr="002407D0">
        <w:trPr>
          <w:trHeight w:val="6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8D01" w14:textId="77777777" w:rsidR="00D939CA" w:rsidRPr="00D939CA" w:rsidRDefault="00D939CA" w:rsidP="00D93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939C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Water derived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46EB" w14:textId="77777777" w:rsidR="00D939CA" w:rsidRPr="00D939CA" w:rsidRDefault="00D939CA" w:rsidP="00D9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39CA">
              <w:rPr>
                <w:rFonts w:ascii="Calibri" w:eastAsia="Times New Roman" w:hAnsi="Calibri" w:cs="Calibri"/>
                <w:color w:val="000000"/>
                <w:lang w:eastAsia="en-AU"/>
              </w:rPr>
              <w:t>100%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59E6" w14:textId="77777777" w:rsidR="00D939CA" w:rsidRPr="00D939CA" w:rsidRDefault="00D939CA" w:rsidP="00D9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39CA">
              <w:rPr>
                <w:rFonts w:ascii="Calibri" w:eastAsia="Times New Roman" w:hAnsi="Calibri" w:cs="Calibri"/>
                <w:color w:val="000000"/>
                <w:lang w:eastAsia="en-AU"/>
              </w:rPr>
              <w:t>Net grid positive through REC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8CB2" w14:textId="77777777" w:rsidR="00D939CA" w:rsidRPr="00D939CA" w:rsidRDefault="00D939CA" w:rsidP="00D9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39CA">
              <w:rPr>
                <w:rFonts w:ascii="Calibri" w:eastAsia="Times New Roman" w:hAnsi="Calibri" w:cs="Calibri"/>
                <w:color w:val="000000"/>
                <w:lang w:eastAsia="en-AU"/>
              </w:rPr>
              <w:t>Zero emissions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4EBA" w14:textId="77777777" w:rsidR="00D939CA" w:rsidRPr="00D939CA" w:rsidRDefault="00D939CA" w:rsidP="00D9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39CA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D939CA" w:rsidRPr="00D939CA" w14:paraId="405BBD5D" w14:textId="77777777" w:rsidTr="002407D0">
        <w:trPr>
          <w:trHeight w:val="6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EE07" w14:textId="77777777" w:rsidR="00D939CA" w:rsidRPr="00D939CA" w:rsidRDefault="00D939CA" w:rsidP="00D93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3A97" w14:textId="77777777" w:rsidR="00D939CA" w:rsidRPr="00D939CA" w:rsidRDefault="00D939CA" w:rsidP="00D9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39CA">
              <w:rPr>
                <w:rFonts w:ascii="Calibri" w:eastAsia="Times New Roman" w:hAnsi="Calibri" w:cs="Calibri"/>
                <w:color w:val="000000"/>
                <w:lang w:eastAsia="en-AU"/>
              </w:rPr>
              <w:t>85%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8799" w14:textId="77777777" w:rsidR="00D939CA" w:rsidRPr="00D939CA" w:rsidRDefault="00D939CA" w:rsidP="00D9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39CA">
              <w:rPr>
                <w:rFonts w:ascii="Calibri" w:eastAsia="Times New Roman" w:hAnsi="Calibri" w:cs="Calibri"/>
                <w:color w:val="000000"/>
                <w:lang w:eastAsia="en-AU"/>
              </w:rPr>
              <w:t>Net grid positive through REC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E321" w14:textId="77777777" w:rsidR="00D939CA" w:rsidRPr="00D939CA" w:rsidRDefault="00D939CA" w:rsidP="00D9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39CA">
              <w:rPr>
                <w:rFonts w:ascii="Calibri" w:eastAsia="Times New Roman" w:hAnsi="Calibri" w:cs="Calibri"/>
                <w:color w:val="000000"/>
                <w:lang w:eastAsia="en-AU"/>
              </w:rPr>
              <w:t>Zero emissions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4E11" w14:textId="77777777" w:rsidR="00D939CA" w:rsidRPr="00D939CA" w:rsidRDefault="00D939CA" w:rsidP="00D9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39CA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</w:tr>
      <w:tr w:rsidR="00D939CA" w:rsidRPr="00D939CA" w14:paraId="0315276C" w14:textId="77777777" w:rsidTr="002407D0">
        <w:trPr>
          <w:trHeight w:val="6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74CD" w14:textId="77777777" w:rsidR="00D939CA" w:rsidRPr="00D939CA" w:rsidRDefault="00D939CA" w:rsidP="00D93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920C" w14:textId="77777777" w:rsidR="00D939CA" w:rsidRPr="00D939CA" w:rsidRDefault="00D939CA" w:rsidP="00D9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39CA">
              <w:rPr>
                <w:rFonts w:ascii="Calibri" w:eastAsia="Times New Roman" w:hAnsi="Calibri" w:cs="Calibri"/>
                <w:color w:val="000000"/>
                <w:lang w:eastAsia="en-AU"/>
              </w:rPr>
              <w:t>100%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AB54" w14:textId="77777777" w:rsidR="00D939CA" w:rsidRPr="00D939CA" w:rsidRDefault="00D939CA" w:rsidP="00D9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39CA">
              <w:rPr>
                <w:rFonts w:ascii="Calibri" w:eastAsia="Times New Roman" w:hAnsi="Calibri" w:cs="Calibri"/>
                <w:color w:val="000000"/>
                <w:lang w:eastAsia="en-AU"/>
              </w:rPr>
              <w:t>Net grid positive through REC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8E9A" w14:textId="77777777" w:rsidR="00D939CA" w:rsidRPr="00D939CA" w:rsidRDefault="00D939CA" w:rsidP="00D9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39CA">
              <w:rPr>
                <w:rFonts w:ascii="Calibri" w:eastAsia="Times New Roman" w:hAnsi="Calibri" w:cs="Calibri"/>
                <w:color w:val="000000"/>
                <w:lang w:eastAsia="en-AU"/>
              </w:rPr>
              <w:t>&lt;xx tonnes/kg H2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A906" w14:textId="77777777" w:rsidR="00D939CA" w:rsidRPr="00D939CA" w:rsidRDefault="00D939CA" w:rsidP="00D9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39CA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</w:tr>
    </w:tbl>
    <w:p w14:paraId="658C106B" w14:textId="132BFA31" w:rsidR="00391410" w:rsidRDefault="00391410" w:rsidP="00CC3ABD"/>
    <w:tbl>
      <w:tblPr>
        <w:tblW w:w="6232" w:type="dxa"/>
        <w:tblLook w:val="04A0" w:firstRow="1" w:lastRow="0" w:firstColumn="1" w:lastColumn="0" w:noHBand="0" w:noVBand="1"/>
      </w:tblPr>
      <w:tblGrid>
        <w:gridCol w:w="1840"/>
        <w:gridCol w:w="2124"/>
        <w:gridCol w:w="1700"/>
        <w:gridCol w:w="568"/>
      </w:tblGrid>
      <w:tr w:rsidR="00D939CA" w:rsidRPr="00D939CA" w14:paraId="786F12A1" w14:textId="77777777" w:rsidTr="002407D0">
        <w:trPr>
          <w:trHeight w:val="6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43A8" w14:textId="77777777" w:rsidR="00D939CA" w:rsidRPr="00D939CA" w:rsidRDefault="00D939CA" w:rsidP="00D9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39C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4FB5" w14:textId="77777777" w:rsidR="00D939CA" w:rsidRPr="00D939CA" w:rsidRDefault="00D939CA" w:rsidP="00D93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939C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Total emissions (1-3)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BE21" w14:textId="77777777" w:rsidR="00D939CA" w:rsidRPr="00D939CA" w:rsidRDefault="00D939CA" w:rsidP="00D93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939C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Offsets used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B6A1" w14:textId="77777777" w:rsidR="00D939CA" w:rsidRPr="00D939CA" w:rsidRDefault="00D939CA" w:rsidP="00D93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939C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Tier</w:t>
            </w:r>
          </w:p>
        </w:tc>
      </w:tr>
      <w:tr w:rsidR="00D939CA" w:rsidRPr="00D939CA" w14:paraId="576DAE1A" w14:textId="77777777" w:rsidTr="002407D0">
        <w:trPr>
          <w:trHeight w:val="6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AA04" w14:textId="6EF229CB" w:rsidR="00D939CA" w:rsidRPr="00D939CA" w:rsidRDefault="00592DB6" w:rsidP="00D93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Coal/methane</w:t>
            </w:r>
            <w:r w:rsidR="00D939CA" w:rsidRPr="00D939CA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derived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3B49" w14:textId="77777777" w:rsidR="00D939CA" w:rsidRPr="00D939CA" w:rsidRDefault="00D939CA" w:rsidP="00D9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39CA">
              <w:rPr>
                <w:rFonts w:ascii="Calibri" w:eastAsia="Times New Roman" w:hAnsi="Calibri" w:cs="Calibri"/>
                <w:color w:val="000000"/>
                <w:lang w:eastAsia="en-AU"/>
              </w:rPr>
              <w:t>&lt;xx tonnes/kg H2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4592" w14:textId="77777777" w:rsidR="00D939CA" w:rsidRPr="00D939CA" w:rsidRDefault="00D939CA" w:rsidP="00D9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39CA">
              <w:rPr>
                <w:rFonts w:ascii="Calibri" w:eastAsia="Times New Roman" w:hAnsi="Calibri" w:cs="Calibri"/>
                <w:color w:val="000000"/>
                <w:lang w:eastAsia="en-AU"/>
              </w:rPr>
              <w:t>No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DB2A" w14:textId="77777777" w:rsidR="00D939CA" w:rsidRPr="00D939CA" w:rsidRDefault="00D939CA" w:rsidP="00D9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39CA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D939CA" w:rsidRPr="00D939CA" w14:paraId="003723A3" w14:textId="77777777" w:rsidTr="002407D0">
        <w:trPr>
          <w:trHeight w:val="6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FF1A" w14:textId="77777777" w:rsidR="00D939CA" w:rsidRPr="00D939CA" w:rsidRDefault="00D939CA" w:rsidP="00D9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5240" w14:textId="77777777" w:rsidR="00D939CA" w:rsidRPr="00D939CA" w:rsidRDefault="00D939CA" w:rsidP="00D9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39CA">
              <w:rPr>
                <w:rFonts w:ascii="Calibri" w:eastAsia="Times New Roman" w:hAnsi="Calibri" w:cs="Calibri"/>
                <w:color w:val="000000"/>
                <w:lang w:eastAsia="en-AU"/>
              </w:rPr>
              <w:t>&lt;xx tonnes/kg H3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37DE" w14:textId="77777777" w:rsidR="00D939CA" w:rsidRPr="00D939CA" w:rsidRDefault="00D939CA" w:rsidP="00D93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39CA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1896" w14:textId="77777777" w:rsidR="00D939CA" w:rsidRPr="00D939CA" w:rsidRDefault="00D939CA" w:rsidP="00D9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939CA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</w:tr>
    </w:tbl>
    <w:p w14:paraId="1929EEE3" w14:textId="77777777" w:rsidR="00D939CA" w:rsidRDefault="00D939CA" w:rsidP="00CC3ABD"/>
    <w:p w14:paraId="4BB8A8A5" w14:textId="69CD99F2" w:rsidR="00C4134E" w:rsidRDefault="003611BE" w:rsidP="00CC3ABD">
      <w:r>
        <w:lastRenderedPageBreak/>
        <w:t>These are examples only and are intended to generate discussion amongst the AHC Export Working group</w:t>
      </w:r>
      <w:r w:rsidR="00B8030F">
        <w:t xml:space="preserve">. </w:t>
      </w:r>
      <w:r w:rsidR="00E605EF">
        <w:t xml:space="preserve"> The </w:t>
      </w:r>
      <w:r w:rsidR="00015CD0">
        <w:t>coal/methane derived without offsets assumes carbon capture and storage or similar direct abate</w:t>
      </w:r>
      <w:r w:rsidR="00DF667A">
        <w:t>ment method.</w:t>
      </w:r>
    </w:p>
    <w:p w14:paraId="4886CCF0" w14:textId="0A169A86" w:rsidR="008F6AC3" w:rsidRDefault="00B8030F" w:rsidP="00CC3ABD">
      <w:r>
        <w:t>If colours are perceived as an import</w:t>
      </w:r>
      <w:r w:rsidR="00CD2E65">
        <w:t>ant</w:t>
      </w:r>
      <w:r>
        <w:t xml:space="preserve"> marketing tool, the two categories </w:t>
      </w:r>
      <w:r w:rsidR="00FB7497">
        <w:t xml:space="preserve">could be split </w:t>
      </w:r>
      <w:r>
        <w:t>as green (water derived</w:t>
      </w:r>
      <w:r w:rsidR="00CD2E65">
        <w:t>)</w:t>
      </w:r>
      <w:r>
        <w:t xml:space="preserve"> and blue (</w:t>
      </w:r>
      <w:r w:rsidR="0060199D">
        <w:t>coal/methane</w:t>
      </w:r>
      <w:r>
        <w:t xml:space="preserve"> derived).</w:t>
      </w:r>
      <w:r w:rsidR="00224364">
        <w:t xml:space="preserve"> </w:t>
      </w:r>
      <w:r w:rsidR="008F6AC3">
        <w:t xml:space="preserve">It should </w:t>
      </w:r>
      <w:r w:rsidR="00224364">
        <w:t xml:space="preserve">also be </w:t>
      </w:r>
      <w:r w:rsidR="008F6AC3">
        <w:t xml:space="preserve">noted </w:t>
      </w:r>
      <w:r w:rsidR="00224364">
        <w:t xml:space="preserve">that </w:t>
      </w:r>
      <w:r w:rsidR="008F6AC3">
        <w:t>using the terminology ‘water derived’ is not without risk</w:t>
      </w:r>
      <w:r w:rsidR="00224364">
        <w:t>.</w:t>
      </w:r>
      <w:r w:rsidR="008F6AC3">
        <w:t xml:space="preserve"> </w:t>
      </w:r>
      <w:r w:rsidR="00224364">
        <w:t>It</w:t>
      </w:r>
      <w:r w:rsidR="008F6AC3">
        <w:t xml:space="preserve"> draws attention to the use of water in hydrogen production</w:t>
      </w:r>
      <w:r w:rsidR="006B4A7D">
        <w:t>. At the same time limiting a scheme to technology (</w:t>
      </w:r>
      <w:r w:rsidR="00C4412E">
        <w:t>e.g</w:t>
      </w:r>
      <w:r w:rsidR="005B7725">
        <w:t>.</w:t>
      </w:r>
      <w:r w:rsidR="006B4A7D">
        <w:t xml:space="preserve"> electrolysis</w:t>
      </w:r>
      <w:r w:rsidR="00C4412E">
        <w:t xml:space="preserve">) inadvertently excludes technological advancement, unless the scheme </w:t>
      </w:r>
      <w:r w:rsidR="008431E7">
        <w:t>has suitable flexibility. A minimal viable product scheme</w:t>
      </w:r>
      <w:r w:rsidR="005B7725">
        <w:t>/</w:t>
      </w:r>
      <w:r w:rsidR="008431E7">
        <w:t xml:space="preserve">definition can safely replace </w:t>
      </w:r>
      <w:r w:rsidR="005B7725">
        <w:t xml:space="preserve">‘water’ with </w:t>
      </w:r>
      <w:r w:rsidR="0049733B">
        <w:t>‘</w:t>
      </w:r>
      <w:r w:rsidR="005B7725">
        <w:t>electrolysis</w:t>
      </w:r>
      <w:r w:rsidR="0049733B">
        <w:t>’</w:t>
      </w:r>
      <w:r w:rsidR="005B7725">
        <w:t xml:space="preserve"> as this point in time.</w:t>
      </w:r>
    </w:p>
    <w:p w14:paraId="2032CDDD" w14:textId="4F996F19" w:rsidR="00F00B8B" w:rsidRDefault="00F00B8B" w:rsidP="00CC3ABD">
      <w:r>
        <w:t>Despite the challenges faced in Australia around water scarcity, it is not expecte</w:t>
      </w:r>
      <w:r w:rsidR="0072083A">
        <w:t xml:space="preserve">d that </w:t>
      </w:r>
      <w:r w:rsidR="001352A3">
        <w:t>defin</w:t>
      </w:r>
      <w:r w:rsidR="00091C11">
        <w:t>itions</w:t>
      </w:r>
      <w:r w:rsidR="0072083A">
        <w:t xml:space="preserve"> absent of water considerations would be tolerated by consumers or regulators.</w:t>
      </w:r>
      <w:r w:rsidR="00570E93">
        <w:t xml:space="preserve"> Lessons </w:t>
      </w:r>
      <w:r w:rsidR="003D01BC">
        <w:t>or frameworks</w:t>
      </w:r>
      <w:r w:rsidR="007160B0">
        <w:t>/certification</w:t>
      </w:r>
      <w:r w:rsidR="003D01BC">
        <w:t xml:space="preserve"> </w:t>
      </w:r>
      <w:r w:rsidR="007160B0">
        <w:t xml:space="preserve">related to </w:t>
      </w:r>
      <w:r w:rsidR="00570E93">
        <w:t xml:space="preserve">water sustainability in </w:t>
      </w:r>
      <w:r w:rsidR="003D01BC">
        <w:t xml:space="preserve">the </w:t>
      </w:r>
      <w:r w:rsidR="00570E93">
        <w:t xml:space="preserve">food and beverage </w:t>
      </w:r>
      <w:r w:rsidR="003D01BC">
        <w:t xml:space="preserve">industry should be </w:t>
      </w:r>
      <w:r w:rsidR="00895187">
        <w:t xml:space="preserve">considered. </w:t>
      </w:r>
    </w:p>
    <w:p w14:paraId="3B4BE3C7" w14:textId="7F5F1B7B" w:rsidR="001F737A" w:rsidRDefault="001F737A" w:rsidP="00CC3ABD">
      <w:r>
        <w:t xml:space="preserve">The risk with </w:t>
      </w:r>
      <w:r w:rsidR="004A6A48">
        <w:t xml:space="preserve">determining definitions in the absence of establishing a compliance framework or accounting methodology (for emissions in particular) is that </w:t>
      </w:r>
      <w:r w:rsidR="00086F02">
        <w:t xml:space="preserve">a definition may be </w:t>
      </w:r>
      <w:r w:rsidR="00027350">
        <w:t>decided,</w:t>
      </w:r>
      <w:r w:rsidR="00086F02">
        <w:t xml:space="preserve"> and </w:t>
      </w:r>
      <w:r w:rsidR="00257D30">
        <w:t>it is then</w:t>
      </w:r>
      <w:r w:rsidR="00086F02">
        <w:t xml:space="preserve"> determined there is no easy way to </w:t>
      </w:r>
      <w:r w:rsidR="00B7013D">
        <w:t xml:space="preserve">demonstrate compliance. </w:t>
      </w:r>
      <w:r w:rsidR="00F8570C">
        <w:t>The tim</w:t>
      </w:r>
      <w:r w:rsidR="002B511B">
        <w:t xml:space="preserve">e pressure on industry to make investment decisions means industry is taking on significant risk </w:t>
      </w:r>
      <w:r w:rsidR="007C06D6">
        <w:t>around their ability to adhere to a scheme.</w:t>
      </w:r>
      <w:r w:rsidR="00362848">
        <w:t xml:space="preserve"> Ideally compliance framework/accounting methodology would be developed in parallel with any definitions</w:t>
      </w:r>
      <w:r w:rsidR="008B1663">
        <w:t>.</w:t>
      </w:r>
    </w:p>
    <w:p w14:paraId="49DA9319" w14:textId="5CC01116" w:rsidR="00F27CDE" w:rsidRDefault="00372E7C" w:rsidP="00F27CDE">
      <w:pPr>
        <w:pStyle w:val="ListParagraph"/>
        <w:numPr>
          <w:ilvl w:val="0"/>
          <w:numId w:val="13"/>
        </w:numPr>
      </w:pPr>
      <w:r>
        <w:t>How do you see the AHC progressing</w:t>
      </w:r>
      <w:r w:rsidR="00F27CDE">
        <w:t xml:space="preserve"> in defin</w:t>
      </w:r>
      <w:r w:rsidR="008C3FA6">
        <w:t>ing classes of hydrogen</w:t>
      </w:r>
      <w:r>
        <w:t>?</w:t>
      </w:r>
    </w:p>
    <w:p w14:paraId="4F5C7140" w14:textId="7D545F9F" w:rsidR="00D74FF3" w:rsidRDefault="00D74FF3" w:rsidP="00F27CDE">
      <w:pPr>
        <w:pStyle w:val="ListParagraph"/>
        <w:numPr>
          <w:ilvl w:val="0"/>
          <w:numId w:val="13"/>
        </w:numPr>
      </w:pPr>
      <w:r>
        <w:t>How can AHC leverage o</w:t>
      </w:r>
      <w:r w:rsidR="00D0031E">
        <w:t>f</w:t>
      </w:r>
      <w:r>
        <w:t xml:space="preserve">f membership (particularly consultants) to </w:t>
      </w:r>
      <w:r w:rsidR="00D0031E">
        <w:t xml:space="preserve">progress a water sustainability </w:t>
      </w:r>
      <w:r w:rsidR="001352A3">
        <w:t>position?</w:t>
      </w:r>
    </w:p>
    <w:p w14:paraId="7DF74D90" w14:textId="4AD09162" w:rsidR="008B1663" w:rsidRDefault="008B1663" w:rsidP="00F27CDE">
      <w:pPr>
        <w:pStyle w:val="ListParagraph"/>
        <w:numPr>
          <w:ilvl w:val="0"/>
          <w:numId w:val="13"/>
        </w:numPr>
      </w:pPr>
      <w:r>
        <w:t>How can the compliance framework/accounting methodology factor be de-risked?</w:t>
      </w:r>
    </w:p>
    <w:p w14:paraId="63D91E54" w14:textId="3175CE47" w:rsidR="00733A05" w:rsidRPr="000C166E" w:rsidRDefault="004C6307" w:rsidP="009D0CC5">
      <w:r>
        <w:t xml:space="preserve">It should be noted that </w:t>
      </w:r>
      <w:r w:rsidR="00F810C9">
        <w:t xml:space="preserve">information from </w:t>
      </w:r>
      <w:r w:rsidR="00A55C9F">
        <w:t xml:space="preserve">the National Hydrogen Taskforce indicates the Government have been working to a carbon emission factor </w:t>
      </w:r>
      <w:r w:rsidR="00C90442">
        <w:t xml:space="preserve">methodology </w:t>
      </w:r>
      <w:r w:rsidR="000B6E5F">
        <w:t xml:space="preserve">to define hydrogen classes. However, </w:t>
      </w:r>
      <w:r w:rsidR="007A0D2F">
        <w:t xml:space="preserve">there </w:t>
      </w:r>
      <w:r w:rsidR="00C95681">
        <w:t>is no formal information being released on this approach</w:t>
      </w:r>
      <w:r w:rsidR="00993D1F">
        <w:t>.</w:t>
      </w:r>
    </w:p>
    <w:p w14:paraId="1CB695AB" w14:textId="08A6D772" w:rsidR="00BE27C9" w:rsidRPr="009D0CC5" w:rsidRDefault="006301AC" w:rsidP="009D0CC5">
      <w:pPr>
        <w:pStyle w:val="ListParagraph"/>
        <w:numPr>
          <w:ilvl w:val="0"/>
          <w:numId w:val="7"/>
        </w:numPr>
        <w:rPr>
          <w:u w:val="single"/>
        </w:rPr>
      </w:pPr>
      <w:r w:rsidRPr="009D0CC5">
        <w:rPr>
          <w:u w:val="single"/>
        </w:rPr>
        <w:t>Process and structure (certification framework)</w:t>
      </w:r>
    </w:p>
    <w:p w14:paraId="0BF01B0A" w14:textId="212AE923" w:rsidR="00D41DF4" w:rsidRDefault="008B1663" w:rsidP="00D41DF4">
      <w:r>
        <w:t>This factor has already been touched on in scope and definitions</w:t>
      </w:r>
      <w:r w:rsidR="003F65F7">
        <w:t xml:space="preserve">. However, the certification framework needs further </w:t>
      </w:r>
      <w:r w:rsidR="00436286">
        <w:t>consideration</w:t>
      </w:r>
      <w:r w:rsidR="003F65F7">
        <w:t xml:space="preserve">. </w:t>
      </w:r>
      <w:r w:rsidR="00B2755E">
        <w:t xml:space="preserve">The Export Roadmap identifies that determining governance (who will administer the scheme) is a critical step in progressing scheme development. </w:t>
      </w:r>
      <w:r w:rsidR="001E3901">
        <w:t xml:space="preserve"> </w:t>
      </w:r>
      <w:r w:rsidR="00D41DF4">
        <w:t>There have been no clear signals from Government on which administering authority will have accountability for this scheme</w:t>
      </w:r>
      <w:r w:rsidR="00B2755E" w:rsidRPr="00B2755E">
        <w:t xml:space="preserve"> </w:t>
      </w:r>
      <w:r w:rsidR="00B2755E">
        <w:t>and AHC will likely have to explicitly state where it thinks this governance role sits</w:t>
      </w:r>
      <w:r w:rsidR="00D41DF4">
        <w:t xml:space="preserve">. There are some suggestions amongst commentators that the Clean Energy Regulator could take this on. </w:t>
      </w:r>
    </w:p>
    <w:p w14:paraId="1C93A9C8" w14:textId="5DB8B4A6" w:rsidR="00A45DCA" w:rsidRDefault="00F55658">
      <w:r>
        <w:t xml:space="preserve">There is </w:t>
      </w:r>
      <w:r w:rsidR="005A15AD">
        <w:t>potential to consider</w:t>
      </w:r>
      <w:r w:rsidR="00B0219F">
        <w:t xml:space="preserve"> certifying</w:t>
      </w:r>
      <w:r w:rsidR="005A15AD">
        <w:t xml:space="preserve"> different forms of hydrogen into different </w:t>
      </w:r>
      <w:r w:rsidR="00B0219F">
        <w:t xml:space="preserve">existing </w:t>
      </w:r>
      <w:r w:rsidR="005A15AD">
        <w:t>schemes (i.e. not just assume a single scheme for all hydrogen)</w:t>
      </w:r>
      <w:r w:rsidR="00B0219F">
        <w:t>. Fur</w:t>
      </w:r>
      <w:r w:rsidR="00E4187B">
        <w:t>ther analysis of which existing schemes could accommodate which hydrogen classes is required.</w:t>
      </w:r>
      <w:r w:rsidR="009F62B4">
        <w:t xml:space="preserve"> </w:t>
      </w:r>
      <w:r w:rsidR="00191DED">
        <w:t xml:space="preserve">AHC should consider undertaking this analysis </w:t>
      </w:r>
      <w:r w:rsidR="00875D7B">
        <w:t>to inform their preference to Government</w:t>
      </w:r>
      <w:r w:rsidR="00A45DCA">
        <w:t>.</w:t>
      </w:r>
    </w:p>
    <w:p w14:paraId="11F71A67" w14:textId="69FC9794" w:rsidR="00A45DCA" w:rsidRDefault="00A877DC" w:rsidP="00A45DCA">
      <w:pPr>
        <w:pStyle w:val="ListParagraph"/>
        <w:numPr>
          <w:ilvl w:val="0"/>
          <w:numId w:val="17"/>
        </w:numPr>
      </w:pPr>
      <w:r>
        <w:t>Do you think the AHC should explicitly state preferred administering authority? If yes, which authority?</w:t>
      </w:r>
    </w:p>
    <w:p w14:paraId="1A5003F3" w14:textId="3438CD0F" w:rsidR="00FC33C0" w:rsidRDefault="00F75AA1" w:rsidP="00786DF9">
      <w:pPr>
        <w:pStyle w:val="ListParagraph"/>
        <w:numPr>
          <w:ilvl w:val="0"/>
          <w:numId w:val="17"/>
        </w:numPr>
      </w:pPr>
      <w:r>
        <w:t>Should</w:t>
      </w:r>
      <w:r w:rsidR="00FC33C0">
        <w:t xml:space="preserve"> the AHC </w:t>
      </w:r>
      <w:r>
        <w:t>asses</w:t>
      </w:r>
      <w:r w:rsidR="00FC33C0">
        <w:t xml:space="preserve"> </w:t>
      </w:r>
      <w:r w:rsidR="00786DF9">
        <w:t>the ability of existing schemes to incorporate hydrogen</w:t>
      </w:r>
      <w:r w:rsidR="00FC33C0">
        <w:t>?</w:t>
      </w:r>
    </w:p>
    <w:p w14:paraId="59AF872A" w14:textId="31D363AB" w:rsidR="009548D1" w:rsidRDefault="009548D1">
      <w:r>
        <w:br w:type="page"/>
      </w:r>
    </w:p>
    <w:p w14:paraId="647991A2" w14:textId="77777777" w:rsidR="009548D1" w:rsidRDefault="009548D1" w:rsidP="00A877DC">
      <w:pPr>
        <w:sectPr w:rsidR="009548D1" w:rsidSect="001B504F">
          <w:head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tbl>
      <w:tblPr>
        <w:tblStyle w:val="GridTable1Light"/>
        <w:tblpPr w:leftFromText="180" w:rightFromText="180" w:vertAnchor="page" w:horzAnchor="margin" w:tblpY="808"/>
        <w:tblW w:w="0" w:type="auto"/>
        <w:tblLook w:val="0480" w:firstRow="0" w:lastRow="0" w:firstColumn="1" w:lastColumn="0" w:noHBand="0" w:noVBand="1"/>
      </w:tblPr>
      <w:tblGrid>
        <w:gridCol w:w="1464"/>
        <w:gridCol w:w="2234"/>
        <w:gridCol w:w="2552"/>
        <w:gridCol w:w="2852"/>
        <w:gridCol w:w="1922"/>
        <w:gridCol w:w="1673"/>
        <w:gridCol w:w="1501"/>
        <w:gridCol w:w="2650"/>
        <w:gridCol w:w="2147"/>
        <w:gridCol w:w="1936"/>
      </w:tblGrid>
      <w:tr w:rsidR="00B93B11" w14:paraId="41FC2BC6" w14:textId="77777777" w:rsidTr="00E21189">
        <w:trPr>
          <w:trHeight w:val="3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single" w:sz="2" w:space="0" w:color="FFFFFF" w:themeColor="background1"/>
              <w:right w:val="nil"/>
            </w:tcBorders>
            <w:shd w:val="clear" w:color="auto" w:fill="auto"/>
          </w:tcPr>
          <w:p w14:paraId="606A48EE" w14:textId="77777777" w:rsidR="009548D1" w:rsidRPr="000820A6" w:rsidRDefault="009548D1" w:rsidP="00E21189">
            <w:pPr>
              <w:pStyle w:val="Body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66"/>
            <w:vAlign w:val="center"/>
          </w:tcPr>
          <w:p w14:paraId="687CBB22" w14:textId="77777777" w:rsidR="009548D1" w:rsidRPr="000820A6" w:rsidRDefault="009548D1" w:rsidP="00E21189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0820A6">
              <w:rPr>
                <w:b/>
                <w:color w:val="FFFFFF" w:themeColor="background1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66"/>
            <w:vAlign w:val="center"/>
          </w:tcPr>
          <w:p w14:paraId="1423FE0A" w14:textId="77777777" w:rsidR="009548D1" w:rsidRPr="00D03BAC" w:rsidRDefault="009548D1" w:rsidP="00E21189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D03BAC">
              <w:rPr>
                <w:b/>
                <w:color w:val="FFFFFF" w:themeColor="background1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66"/>
            <w:vAlign w:val="center"/>
          </w:tcPr>
          <w:p w14:paraId="43D594AF" w14:textId="77777777" w:rsidR="009548D1" w:rsidRPr="00D03BAC" w:rsidRDefault="009548D1" w:rsidP="00E21189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D03BAC">
              <w:rPr>
                <w:b/>
                <w:color w:val="FFFFFF" w:themeColor="background1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66"/>
            <w:vAlign w:val="center"/>
          </w:tcPr>
          <w:p w14:paraId="73B5C940" w14:textId="77777777" w:rsidR="009548D1" w:rsidRPr="00D03BAC" w:rsidRDefault="009548D1" w:rsidP="00E21189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D03BAC">
              <w:rPr>
                <w:b/>
                <w:color w:val="FFFFFF" w:themeColor="background1"/>
                <w:sz w:val="20"/>
                <w:szCs w:val="20"/>
              </w:rPr>
              <w:t>2023-2024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66"/>
            <w:vAlign w:val="center"/>
          </w:tcPr>
          <w:p w14:paraId="1FF687A0" w14:textId="77777777" w:rsidR="009548D1" w:rsidRPr="00D03BAC" w:rsidRDefault="009548D1" w:rsidP="00E21189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D03BAC">
              <w:rPr>
                <w:b/>
                <w:color w:val="FFFFFF" w:themeColor="background1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66"/>
            <w:vAlign w:val="center"/>
          </w:tcPr>
          <w:p w14:paraId="4FBDC3D7" w14:textId="77777777" w:rsidR="009548D1" w:rsidRPr="00D03BAC" w:rsidRDefault="009548D1" w:rsidP="00E21189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D03BAC">
              <w:rPr>
                <w:b/>
                <w:color w:val="FFFFFF" w:themeColor="background1"/>
                <w:sz w:val="20"/>
                <w:szCs w:val="20"/>
              </w:rPr>
              <w:t>2030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66"/>
            <w:vAlign w:val="center"/>
          </w:tcPr>
          <w:p w14:paraId="3E0EEA38" w14:textId="77777777" w:rsidR="009548D1" w:rsidRPr="00D03BAC" w:rsidRDefault="009548D1" w:rsidP="00E21189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D03BAC">
              <w:rPr>
                <w:b/>
                <w:color w:val="FFFFFF" w:themeColor="background1"/>
                <w:sz w:val="20"/>
                <w:szCs w:val="20"/>
              </w:rPr>
              <w:t>2035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006666"/>
            </w:tcBorders>
            <w:shd w:val="clear" w:color="auto" w:fill="006666"/>
            <w:vAlign w:val="center"/>
          </w:tcPr>
          <w:p w14:paraId="5D3C3B63" w14:textId="77777777" w:rsidR="009548D1" w:rsidRPr="00D03BAC" w:rsidRDefault="009548D1" w:rsidP="00E21189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D03BAC">
              <w:rPr>
                <w:b/>
                <w:color w:val="FFFFFF" w:themeColor="background1"/>
                <w:sz w:val="20"/>
                <w:szCs w:val="20"/>
              </w:rPr>
              <w:t>2040</w:t>
            </w:r>
          </w:p>
        </w:tc>
        <w:tc>
          <w:tcPr>
            <w:tcW w:w="0" w:type="auto"/>
            <w:tcBorders>
              <w:top w:val="nil"/>
              <w:left w:val="single" w:sz="2" w:space="0" w:color="006666"/>
              <w:bottom w:val="nil"/>
              <w:right w:val="nil"/>
            </w:tcBorders>
            <w:shd w:val="clear" w:color="auto" w:fill="006666"/>
            <w:vAlign w:val="center"/>
          </w:tcPr>
          <w:p w14:paraId="6ABF2505" w14:textId="77777777" w:rsidR="009548D1" w:rsidRPr="00D03BAC" w:rsidRDefault="009548D1" w:rsidP="00E21189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D03BAC">
              <w:rPr>
                <w:b/>
                <w:color w:val="FFFFFF" w:themeColor="background1"/>
                <w:sz w:val="20"/>
                <w:szCs w:val="20"/>
              </w:rPr>
              <w:t>2050</w:t>
            </w:r>
          </w:p>
        </w:tc>
      </w:tr>
      <w:tr w:rsidR="002964A0" w14:paraId="547BA399" w14:textId="77777777" w:rsidTr="00E2118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  <w:vAlign w:val="center"/>
          </w:tcPr>
          <w:p w14:paraId="0228278C" w14:textId="77777777" w:rsidR="009548D1" w:rsidRPr="000820A6" w:rsidRDefault="009548D1" w:rsidP="00E21189">
            <w:pPr>
              <w:pStyle w:val="Body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5981C674" w14:textId="77777777" w:rsidR="009548D1" w:rsidRPr="00D03BAC" w:rsidRDefault="009548D1" w:rsidP="00E21189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03BAC">
              <w:rPr>
                <w:b/>
                <w:sz w:val="20"/>
                <w:szCs w:val="20"/>
              </w:rPr>
              <w:t xml:space="preserve">Immediate next steps </w:t>
            </w:r>
            <w:r w:rsidRPr="00D03BAC">
              <w:rPr>
                <w:rFonts w:ascii="Wingdings" w:eastAsia="Wingdings" w:hAnsi="Wingdings" w:cs="Wingdings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2A72A81" w14:textId="77777777" w:rsidR="009548D1" w:rsidRPr="00D03BAC" w:rsidRDefault="009548D1" w:rsidP="00E21189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03BAC">
              <w:rPr>
                <w:b/>
                <w:sz w:val="20"/>
                <w:szCs w:val="20"/>
              </w:rPr>
              <w:t xml:space="preserve">Early scale-up </w:t>
            </w:r>
            <w:r w:rsidRPr="00D03BAC">
              <w:rPr>
                <w:rFonts w:ascii="Wingdings" w:eastAsia="Wingdings" w:hAnsi="Wingdings" w:cs="Wingdings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21689F4" w14:textId="77777777" w:rsidR="009548D1" w:rsidRPr="00D03BAC" w:rsidRDefault="009548D1" w:rsidP="00E21189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03BAC">
              <w:rPr>
                <w:b/>
                <w:sz w:val="20"/>
                <w:szCs w:val="20"/>
              </w:rPr>
              <w:t xml:space="preserve">Diversification </w:t>
            </w:r>
            <w:r w:rsidRPr="00D03BAC">
              <w:rPr>
                <w:rFonts w:ascii="Wingdings" w:eastAsia="Wingdings" w:hAnsi="Wingdings" w:cs="Wingdings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B72F7A" w14:textId="77777777" w:rsidR="009548D1" w:rsidRPr="00D03BAC" w:rsidRDefault="009548D1" w:rsidP="00E21189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03BAC">
              <w:rPr>
                <w:b/>
                <w:sz w:val="20"/>
                <w:szCs w:val="20"/>
              </w:rPr>
              <w:t xml:space="preserve">Maturing industry </w:t>
            </w:r>
            <w:r w:rsidRPr="00D03BAC">
              <w:rPr>
                <w:rFonts w:ascii="Wingdings" w:eastAsia="Wingdings" w:hAnsi="Wingdings" w:cs="Wingdings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A5535C" w14:textId="77777777" w:rsidR="009548D1" w:rsidRPr="00D03BAC" w:rsidRDefault="009548D1" w:rsidP="00E21189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03BAC">
              <w:rPr>
                <w:b/>
                <w:sz w:val="20"/>
                <w:szCs w:val="20"/>
              </w:rPr>
              <w:t>Industry mature</w:t>
            </w:r>
          </w:p>
        </w:tc>
      </w:tr>
      <w:tr w:rsidR="002964A0" w14:paraId="19F81CF0" w14:textId="77777777" w:rsidTr="00141C94">
        <w:trPr>
          <w:trHeight w:val="3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  <w:vAlign w:val="center"/>
          </w:tcPr>
          <w:p w14:paraId="264000BF" w14:textId="77777777" w:rsidR="009548D1" w:rsidRPr="000820A6" w:rsidRDefault="009548D1" w:rsidP="00E21189">
            <w:pPr>
              <w:pStyle w:val="Body"/>
              <w:spacing w:line="240" w:lineRule="auto"/>
              <w:rPr>
                <w:sz w:val="20"/>
                <w:szCs w:val="20"/>
              </w:rPr>
            </w:pPr>
            <w:r w:rsidRPr="000820A6">
              <w:rPr>
                <w:sz w:val="20"/>
                <w:szCs w:val="20"/>
              </w:rPr>
              <w:t>Key Outcomes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5840E19" w14:textId="01C28447" w:rsidR="00FE796C" w:rsidRPr="00D00199" w:rsidRDefault="009548D1" w:rsidP="00D00199">
            <w:pPr>
              <w:pStyle w:val="Body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00199">
              <w:rPr>
                <w:sz w:val="20"/>
                <w:szCs w:val="20"/>
              </w:rPr>
              <w:t>Accelerate</w:t>
            </w:r>
            <w:r w:rsidR="00C26690" w:rsidRPr="00D00199">
              <w:rPr>
                <w:sz w:val="20"/>
                <w:szCs w:val="20"/>
              </w:rPr>
              <w:t>d</w:t>
            </w:r>
            <w:r w:rsidRPr="00D00199">
              <w:rPr>
                <w:sz w:val="20"/>
                <w:szCs w:val="20"/>
              </w:rPr>
              <w:t xml:space="preserve"> deployment of </w:t>
            </w:r>
            <w:r w:rsidR="00A573B3" w:rsidRPr="00D00199">
              <w:rPr>
                <w:sz w:val="20"/>
                <w:szCs w:val="20"/>
              </w:rPr>
              <w:t xml:space="preserve">strategic </w:t>
            </w:r>
            <w:r w:rsidRPr="00D00199">
              <w:rPr>
                <w:sz w:val="20"/>
                <w:szCs w:val="20"/>
              </w:rPr>
              <w:t xml:space="preserve">funding for commercial scale blue and green </w:t>
            </w:r>
            <w:r w:rsidR="00A573B3" w:rsidRPr="00D00199">
              <w:rPr>
                <w:sz w:val="20"/>
                <w:szCs w:val="20"/>
              </w:rPr>
              <w:t>H</w:t>
            </w:r>
            <w:r w:rsidR="00A573B3" w:rsidRPr="00D00199">
              <w:rPr>
                <w:sz w:val="20"/>
                <w:szCs w:val="20"/>
                <w:vertAlign w:val="subscript"/>
              </w:rPr>
              <w:t>2</w:t>
            </w:r>
            <w:r w:rsidRPr="00D00199">
              <w:rPr>
                <w:sz w:val="20"/>
                <w:szCs w:val="20"/>
              </w:rPr>
              <w:t xml:space="preserve"> export projects (</w:t>
            </w:r>
            <w:r w:rsidR="004D74AA" w:rsidRPr="00D00199">
              <w:rPr>
                <w:sz w:val="20"/>
                <w:szCs w:val="20"/>
              </w:rPr>
              <w:t>~10ktpa+ scale of H</w:t>
            </w:r>
            <w:r w:rsidR="00CF1F07" w:rsidRPr="00D00199">
              <w:rPr>
                <w:sz w:val="20"/>
                <w:szCs w:val="20"/>
                <w:vertAlign w:val="subscript"/>
              </w:rPr>
              <w:t xml:space="preserve">2 </w:t>
            </w:r>
            <w:r w:rsidR="00CF1F07" w:rsidRPr="00D00199">
              <w:rPr>
                <w:sz w:val="20"/>
                <w:szCs w:val="20"/>
              </w:rPr>
              <w:t xml:space="preserve">production per project, </w:t>
            </w:r>
            <w:r w:rsidRPr="00D00199">
              <w:rPr>
                <w:sz w:val="20"/>
                <w:szCs w:val="20"/>
              </w:rPr>
              <w:t>~100MW</w:t>
            </w:r>
            <w:r w:rsidR="00EF3101" w:rsidRPr="00D00199">
              <w:rPr>
                <w:sz w:val="20"/>
                <w:szCs w:val="20"/>
              </w:rPr>
              <w:t xml:space="preserve"> </w:t>
            </w:r>
            <w:r w:rsidR="00CF1F07" w:rsidRPr="00D00199">
              <w:rPr>
                <w:sz w:val="20"/>
                <w:szCs w:val="20"/>
              </w:rPr>
              <w:t>electrolyser scale for green H</w:t>
            </w:r>
            <w:r w:rsidR="00EF3101" w:rsidRPr="00D00199">
              <w:rPr>
                <w:sz w:val="20"/>
                <w:szCs w:val="20"/>
                <w:vertAlign w:val="subscript"/>
              </w:rPr>
              <w:t>2</w:t>
            </w:r>
            <w:r w:rsidR="00EF3101" w:rsidRPr="00D00199">
              <w:rPr>
                <w:sz w:val="20"/>
                <w:szCs w:val="20"/>
              </w:rPr>
              <w:t xml:space="preserve"> project</w:t>
            </w:r>
            <w:r w:rsidRPr="00D00199">
              <w:rPr>
                <w:sz w:val="20"/>
                <w:szCs w:val="20"/>
              </w:rPr>
              <w:t>)</w:t>
            </w:r>
            <w:r w:rsidR="00EF3101" w:rsidRPr="00D00199">
              <w:rPr>
                <w:sz w:val="20"/>
                <w:szCs w:val="20"/>
              </w:rPr>
              <w:t>.</w:t>
            </w:r>
            <w:r w:rsidRPr="00D00199">
              <w:rPr>
                <w:sz w:val="20"/>
                <w:szCs w:val="20"/>
              </w:rPr>
              <w:t xml:space="preserve"> </w:t>
            </w:r>
          </w:p>
          <w:p w14:paraId="3D7349FF" w14:textId="46EAB22A" w:rsidR="009548D1" w:rsidRPr="00D00199" w:rsidRDefault="00FE796C" w:rsidP="00D00199">
            <w:pPr>
              <w:pStyle w:val="Body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00199">
              <w:rPr>
                <w:sz w:val="20"/>
                <w:szCs w:val="20"/>
              </w:rPr>
              <w:t>C</w:t>
            </w:r>
            <w:r w:rsidR="009548D1" w:rsidRPr="00D00199">
              <w:rPr>
                <w:sz w:val="20"/>
                <w:szCs w:val="20"/>
              </w:rPr>
              <w:t xml:space="preserve">ommercial scale </w:t>
            </w:r>
            <w:r w:rsidRPr="00D00199">
              <w:rPr>
                <w:sz w:val="20"/>
                <w:szCs w:val="20"/>
              </w:rPr>
              <w:t>H</w:t>
            </w:r>
            <w:r w:rsidRPr="00D00199">
              <w:rPr>
                <w:sz w:val="20"/>
                <w:szCs w:val="20"/>
                <w:vertAlign w:val="subscript"/>
              </w:rPr>
              <w:t>2</w:t>
            </w:r>
            <w:r w:rsidR="009548D1" w:rsidRPr="00D00199">
              <w:rPr>
                <w:sz w:val="20"/>
                <w:szCs w:val="20"/>
              </w:rPr>
              <w:t xml:space="preserve"> projects </w:t>
            </w:r>
            <w:r w:rsidRPr="00D00199">
              <w:rPr>
                <w:sz w:val="20"/>
                <w:szCs w:val="20"/>
              </w:rPr>
              <w:t xml:space="preserve">incorporated </w:t>
            </w:r>
            <w:r w:rsidR="009548D1" w:rsidRPr="00D00199">
              <w:rPr>
                <w:sz w:val="20"/>
                <w:szCs w:val="20"/>
              </w:rPr>
              <w:t>into broader infrastructure programs intended to stimulate economic recovery.</w:t>
            </w:r>
          </w:p>
          <w:p w14:paraId="5A794DCB" w14:textId="77777777" w:rsidR="00A77A0C" w:rsidRPr="00D00199" w:rsidRDefault="00FE796C" w:rsidP="00D00199">
            <w:pPr>
              <w:pStyle w:val="Body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00199">
              <w:rPr>
                <w:sz w:val="20"/>
                <w:szCs w:val="20"/>
              </w:rPr>
              <w:t>S</w:t>
            </w:r>
            <w:r w:rsidR="009548D1" w:rsidRPr="00D00199">
              <w:rPr>
                <w:sz w:val="20"/>
                <w:szCs w:val="20"/>
              </w:rPr>
              <w:t xml:space="preserve">trategic priorities </w:t>
            </w:r>
            <w:r w:rsidRPr="00D00199">
              <w:rPr>
                <w:sz w:val="20"/>
                <w:szCs w:val="20"/>
              </w:rPr>
              <w:t xml:space="preserve">developed </w:t>
            </w:r>
            <w:r w:rsidR="009548D1" w:rsidRPr="00D00199">
              <w:rPr>
                <w:sz w:val="20"/>
                <w:szCs w:val="20"/>
              </w:rPr>
              <w:t>for the next 3-5 years based on where the demand is now i.e. export markets in Japan and Korea</w:t>
            </w:r>
            <w:r w:rsidR="00C945CD" w:rsidRPr="00D00199">
              <w:rPr>
                <w:sz w:val="20"/>
                <w:szCs w:val="20"/>
              </w:rPr>
              <w:t xml:space="preserve"> (see </w:t>
            </w:r>
            <w:r w:rsidR="009548D1" w:rsidRPr="00D00199">
              <w:rPr>
                <w:sz w:val="20"/>
                <w:szCs w:val="20"/>
              </w:rPr>
              <w:t>LNG industry</w:t>
            </w:r>
            <w:r w:rsidR="00C945CD" w:rsidRPr="00D00199">
              <w:rPr>
                <w:sz w:val="20"/>
                <w:szCs w:val="20"/>
              </w:rPr>
              <w:t xml:space="preserve"> experience)</w:t>
            </w:r>
            <w:r w:rsidR="009548D1" w:rsidRPr="00D00199">
              <w:rPr>
                <w:sz w:val="20"/>
                <w:szCs w:val="20"/>
              </w:rPr>
              <w:t>.</w:t>
            </w:r>
          </w:p>
          <w:p w14:paraId="54BFF151" w14:textId="62BC6D54" w:rsidR="00A77A0C" w:rsidRPr="00D00199" w:rsidRDefault="009548D1" w:rsidP="00D00199">
            <w:pPr>
              <w:pStyle w:val="Body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00199">
              <w:rPr>
                <w:sz w:val="20"/>
                <w:szCs w:val="20"/>
              </w:rPr>
              <w:t xml:space="preserve">Australian </w:t>
            </w:r>
            <w:r w:rsidR="00A77A0C" w:rsidRPr="00D00199">
              <w:rPr>
                <w:sz w:val="20"/>
                <w:szCs w:val="20"/>
              </w:rPr>
              <w:t>H</w:t>
            </w:r>
            <w:r w:rsidR="00A77A0C" w:rsidRPr="00D00199">
              <w:rPr>
                <w:sz w:val="20"/>
                <w:szCs w:val="20"/>
                <w:vertAlign w:val="subscript"/>
              </w:rPr>
              <w:t>2</w:t>
            </w:r>
            <w:r w:rsidRPr="00D00199">
              <w:rPr>
                <w:sz w:val="20"/>
                <w:szCs w:val="20"/>
              </w:rPr>
              <w:t xml:space="preserve"> technology and knowledge </w:t>
            </w:r>
            <w:r w:rsidR="00A77A0C" w:rsidRPr="00D00199">
              <w:rPr>
                <w:sz w:val="20"/>
                <w:szCs w:val="20"/>
              </w:rPr>
              <w:t>is</w:t>
            </w:r>
            <w:r w:rsidRPr="00D00199">
              <w:rPr>
                <w:sz w:val="20"/>
                <w:szCs w:val="20"/>
              </w:rPr>
              <w:t xml:space="preserve"> monetised</w:t>
            </w:r>
            <w:r w:rsidR="00A77A0C" w:rsidRPr="00D00199">
              <w:rPr>
                <w:sz w:val="20"/>
                <w:szCs w:val="20"/>
              </w:rPr>
              <w:t xml:space="preserve"> and built into </w:t>
            </w:r>
            <w:r w:rsidRPr="00D00199">
              <w:rPr>
                <w:sz w:val="20"/>
                <w:szCs w:val="20"/>
              </w:rPr>
              <w:t xml:space="preserve">relationships with </w:t>
            </w:r>
            <w:proofErr w:type="spellStart"/>
            <w:r w:rsidRPr="00D00199">
              <w:rPr>
                <w:sz w:val="20"/>
                <w:szCs w:val="20"/>
              </w:rPr>
              <w:t>offtakers</w:t>
            </w:r>
            <w:proofErr w:type="spellEnd"/>
            <w:r w:rsidR="00D00199">
              <w:rPr>
                <w:sz w:val="20"/>
                <w:szCs w:val="20"/>
              </w:rPr>
              <w:t>.</w:t>
            </w:r>
            <w:r w:rsidRPr="00D00199">
              <w:rPr>
                <w:sz w:val="20"/>
                <w:szCs w:val="20"/>
              </w:rPr>
              <w:t xml:space="preserve"> </w:t>
            </w:r>
          </w:p>
          <w:p w14:paraId="41395097" w14:textId="0BAE91D5" w:rsidR="009548D1" w:rsidRPr="00D00199" w:rsidRDefault="009548D1" w:rsidP="00D00199">
            <w:pPr>
              <w:pStyle w:val="Body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E7599">
              <w:rPr>
                <w:sz w:val="20"/>
                <w:szCs w:val="20"/>
                <w:highlight w:val="yellow"/>
              </w:rPr>
              <w:t xml:space="preserve">Certification </w:t>
            </w:r>
            <w:r w:rsidR="00261472" w:rsidRPr="005E7599">
              <w:rPr>
                <w:sz w:val="20"/>
                <w:szCs w:val="20"/>
                <w:highlight w:val="yellow"/>
              </w:rPr>
              <w:t>s</w:t>
            </w:r>
            <w:r w:rsidRPr="005E7599">
              <w:rPr>
                <w:sz w:val="20"/>
                <w:szCs w:val="20"/>
                <w:highlight w:val="yellow"/>
              </w:rPr>
              <w:t>cheme</w:t>
            </w:r>
            <w:r w:rsidR="005E7599" w:rsidRPr="005E7599">
              <w:rPr>
                <w:sz w:val="20"/>
                <w:szCs w:val="20"/>
                <w:highlight w:val="yellow"/>
              </w:rPr>
              <w:t xml:space="preserve"> minimum viable product in place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ED577D0" w14:textId="5DFC011F" w:rsidR="009548D1" w:rsidRPr="00D00199" w:rsidRDefault="009548D1" w:rsidP="00D00199">
            <w:pPr>
              <w:pStyle w:val="Body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00199">
              <w:rPr>
                <w:sz w:val="20"/>
                <w:szCs w:val="20"/>
              </w:rPr>
              <w:t xml:space="preserve">Commercial scale projects </w:t>
            </w:r>
            <w:r w:rsidR="008E3D98" w:rsidRPr="00D00199">
              <w:rPr>
                <w:sz w:val="20"/>
                <w:szCs w:val="20"/>
              </w:rPr>
              <w:t>(10ktpa+)</w:t>
            </w:r>
            <w:r w:rsidRPr="00D00199">
              <w:rPr>
                <w:sz w:val="20"/>
                <w:szCs w:val="20"/>
              </w:rPr>
              <w:t xml:space="preserve"> reach FID in 2023/2024 and construction commences.</w:t>
            </w:r>
          </w:p>
          <w:p w14:paraId="6E6240EC" w14:textId="3771E5AE" w:rsidR="009548D1" w:rsidRPr="00D00199" w:rsidRDefault="002244DD" w:rsidP="00D00199">
            <w:pPr>
              <w:pStyle w:val="Body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00199">
              <w:rPr>
                <w:sz w:val="20"/>
                <w:szCs w:val="20"/>
              </w:rPr>
              <w:t>1-10ktpa</w:t>
            </w:r>
            <w:r w:rsidR="00141C94" w:rsidRPr="00D00199">
              <w:rPr>
                <w:sz w:val="20"/>
                <w:szCs w:val="20"/>
              </w:rPr>
              <w:t xml:space="preserve"> scale projects (</w:t>
            </w:r>
            <w:r w:rsidR="009548D1" w:rsidRPr="00D00199">
              <w:rPr>
                <w:sz w:val="20"/>
                <w:szCs w:val="20"/>
              </w:rPr>
              <w:t>10-100MW scale</w:t>
            </w:r>
            <w:r w:rsidR="00141C94" w:rsidRPr="00D00199">
              <w:rPr>
                <w:sz w:val="20"/>
                <w:szCs w:val="20"/>
              </w:rPr>
              <w:t xml:space="preserve"> green H</w:t>
            </w:r>
            <w:r w:rsidR="00141C94" w:rsidRPr="00D00199">
              <w:rPr>
                <w:sz w:val="20"/>
                <w:szCs w:val="20"/>
                <w:vertAlign w:val="subscript"/>
              </w:rPr>
              <w:t>2</w:t>
            </w:r>
            <w:r w:rsidR="009548D1" w:rsidRPr="00D00199">
              <w:rPr>
                <w:sz w:val="20"/>
                <w:szCs w:val="20"/>
              </w:rPr>
              <w:t xml:space="preserve"> projects</w:t>
            </w:r>
            <w:r w:rsidR="00141C94" w:rsidRPr="00D00199">
              <w:rPr>
                <w:sz w:val="20"/>
                <w:szCs w:val="20"/>
              </w:rPr>
              <w:t>)</w:t>
            </w:r>
            <w:r w:rsidR="009548D1" w:rsidRPr="00D00199">
              <w:rPr>
                <w:sz w:val="20"/>
                <w:szCs w:val="20"/>
              </w:rPr>
              <w:t xml:space="preserve"> ready to export to Asia in 2025.</w:t>
            </w:r>
          </w:p>
          <w:p w14:paraId="406706E7" w14:textId="3F0C7278" w:rsidR="009548D1" w:rsidRPr="00D00199" w:rsidRDefault="009548D1" w:rsidP="00D00199">
            <w:pPr>
              <w:pStyle w:val="Body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00199">
              <w:rPr>
                <w:sz w:val="20"/>
                <w:szCs w:val="20"/>
              </w:rPr>
              <w:t xml:space="preserve">Cost to produce </w:t>
            </w:r>
            <w:r w:rsidR="00141C94" w:rsidRPr="00D00199">
              <w:rPr>
                <w:sz w:val="20"/>
                <w:szCs w:val="20"/>
              </w:rPr>
              <w:t>H</w:t>
            </w:r>
            <w:r w:rsidR="00141C94" w:rsidRPr="00D00199">
              <w:rPr>
                <w:sz w:val="20"/>
                <w:szCs w:val="20"/>
                <w:vertAlign w:val="subscript"/>
              </w:rPr>
              <w:t>2</w:t>
            </w:r>
            <w:r w:rsidRPr="00D00199">
              <w:rPr>
                <w:sz w:val="20"/>
                <w:szCs w:val="20"/>
              </w:rPr>
              <w:t xml:space="preserve"> reducing as a result of learnings from feasibility studies</w:t>
            </w:r>
            <w:r w:rsidR="0021021F" w:rsidRPr="00D00199">
              <w:rPr>
                <w:sz w:val="20"/>
                <w:szCs w:val="20"/>
              </w:rPr>
              <w:t xml:space="preserve"> and </w:t>
            </w:r>
            <w:r w:rsidRPr="00D00199">
              <w:rPr>
                <w:sz w:val="20"/>
                <w:szCs w:val="20"/>
              </w:rPr>
              <w:t>commercial scale projects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B80A143" w14:textId="3DB9E0D1" w:rsidR="009548D1" w:rsidRPr="00D00199" w:rsidRDefault="00F74932" w:rsidP="00D00199">
            <w:pPr>
              <w:pStyle w:val="Body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00199">
              <w:rPr>
                <w:sz w:val="20"/>
                <w:szCs w:val="20"/>
              </w:rPr>
              <w:t xml:space="preserve">Increased efficiencies gained from </w:t>
            </w:r>
            <w:r w:rsidR="009548D1" w:rsidRPr="00D00199">
              <w:rPr>
                <w:sz w:val="20"/>
                <w:szCs w:val="20"/>
              </w:rPr>
              <w:t xml:space="preserve">commercial scale </w:t>
            </w:r>
            <w:r w:rsidRPr="00D00199">
              <w:rPr>
                <w:sz w:val="20"/>
                <w:szCs w:val="20"/>
              </w:rPr>
              <w:t>experience</w:t>
            </w:r>
          </w:p>
          <w:p w14:paraId="20B75CE9" w14:textId="0326C2D0" w:rsidR="009548D1" w:rsidRPr="00D00199" w:rsidRDefault="009548D1" w:rsidP="00D00199">
            <w:pPr>
              <w:pStyle w:val="Body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00199">
              <w:rPr>
                <w:sz w:val="20"/>
                <w:szCs w:val="20"/>
              </w:rPr>
              <w:t xml:space="preserve">Growing volumes of </w:t>
            </w:r>
            <w:r w:rsidR="00F74932" w:rsidRPr="00D00199">
              <w:rPr>
                <w:sz w:val="20"/>
                <w:szCs w:val="20"/>
              </w:rPr>
              <w:t>H</w:t>
            </w:r>
            <w:r w:rsidR="0030465F" w:rsidRPr="00D00199">
              <w:rPr>
                <w:sz w:val="20"/>
                <w:szCs w:val="20"/>
                <w:vertAlign w:val="subscript"/>
              </w:rPr>
              <w:t>2</w:t>
            </w:r>
            <w:r w:rsidR="0030465F" w:rsidRPr="00D00199">
              <w:rPr>
                <w:sz w:val="20"/>
                <w:szCs w:val="20"/>
              </w:rPr>
              <w:t xml:space="preserve"> </w:t>
            </w:r>
            <w:r w:rsidRPr="00D00199">
              <w:rPr>
                <w:sz w:val="20"/>
                <w:szCs w:val="20"/>
              </w:rPr>
              <w:t>exported to Japan and Korea. New export markets emerge.</w:t>
            </w:r>
          </w:p>
          <w:p w14:paraId="35741AC1" w14:textId="10F4CEB6" w:rsidR="009548D1" w:rsidRPr="00D00199" w:rsidRDefault="0030465F" w:rsidP="00D00199">
            <w:pPr>
              <w:pStyle w:val="Body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00199">
              <w:rPr>
                <w:sz w:val="20"/>
                <w:szCs w:val="20"/>
              </w:rPr>
              <w:t>H</w:t>
            </w:r>
            <w:r w:rsidRPr="00D00199">
              <w:rPr>
                <w:sz w:val="20"/>
                <w:szCs w:val="20"/>
                <w:vertAlign w:val="subscript"/>
              </w:rPr>
              <w:t>2</w:t>
            </w:r>
            <w:r w:rsidR="009548D1" w:rsidRPr="00D00199">
              <w:rPr>
                <w:sz w:val="20"/>
                <w:szCs w:val="20"/>
              </w:rPr>
              <w:t xml:space="preserve"> from export </w:t>
            </w:r>
            <w:r w:rsidRPr="00D00199">
              <w:rPr>
                <w:sz w:val="20"/>
                <w:szCs w:val="20"/>
              </w:rPr>
              <w:t>used fro diversifying</w:t>
            </w:r>
            <w:r w:rsidR="009548D1" w:rsidRPr="00D00199">
              <w:rPr>
                <w:sz w:val="20"/>
                <w:szCs w:val="20"/>
              </w:rPr>
              <w:t xml:space="preserve"> domestic market as end-use applications</w:t>
            </w:r>
            <w:r w:rsidR="00D67D60" w:rsidRPr="00D001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2333C39" w14:textId="681BC360" w:rsidR="009548D1" w:rsidRPr="00D00199" w:rsidRDefault="00D67D60" w:rsidP="00D00199">
            <w:pPr>
              <w:pStyle w:val="Body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00199">
              <w:rPr>
                <w:rFonts w:eastAsia="Times New Roman"/>
                <w:sz w:val="20"/>
                <w:szCs w:val="20"/>
              </w:rPr>
              <w:t>E</w:t>
            </w:r>
            <w:r w:rsidR="009548D1" w:rsidRPr="00D00199">
              <w:rPr>
                <w:rFonts w:eastAsia="Times New Roman"/>
                <w:sz w:val="20"/>
                <w:szCs w:val="20"/>
              </w:rPr>
              <w:t xml:space="preserve">xport industry in Australia growing and approaching maturity. </w:t>
            </w:r>
          </w:p>
          <w:p w14:paraId="429A35F1" w14:textId="61C58BF3" w:rsidR="009548D1" w:rsidRPr="00D00199" w:rsidRDefault="00D90566" w:rsidP="00D00199">
            <w:pPr>
              <w:pStyle w:val="Body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00199">
              <w:rPr>
                <w:rFonts w:eastAsia="Times New Roman"/>
                <w:sz w:val="20"/>
                <w:szCs w:val="20"/>
              </w:rPr>
              <w:t>100ktpa+</w:t>
            </w:r>
            <w:r w:rsidR="009548D1" w:rsidRPr="00D00199">
              <w:rPr>
                <w:rFonts w:eastAsia="Times New Roman"/>
                <w:sz w:val="20"/>
                <w:szCs w:val="20"/>
              </w:rPr>
              <w:t xml:space="preserve"> scale projects increase in number.</w:t>
            </w:r>
          </w:p>
        </w:tc>
        <w:tc>
          <w:tcPr>
            <w:tcW w:w="0" w:type="auto"/>
            <w:shd w:val="clear" w:color="auto" w:fill="auto"/>
          </w:tcPr>
          <w:p w14:paraId="20F37E35" w14:textId="77777777" w:rsidR="00400C90" w:rsidRPr="00D00199" w:rsidRDefault="00400C90" w:rsidP="00D00199">
            <w:pPr>
              <w:pStyle w:val="Body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sz w:val="20"/>
                <w:szCs w:val="20"/>
              </w:rPr>
            </w:pPr>
            <w:r w:rsidRPr="00D00199">
              <w:rPr>
                <w:rFonts w:eastAsia="Times New Roman"/>
                <w:b/>
                <w:sz w:val="20"/>
                <w:szCs w:val="20"/>
              </w:rPr>
              <w:t>Export</w:t>
            </w:r>
            <w:r w:rsidR="009548D1" w:rsidRPr="00D00199">
              <w:rPr>
                <w:rFonts w:eastAsia="Times New Roman"/>
                <w:sz w:val="20"/>
                <w:szCs w:val="20"/>
              </w:rPr>
              <w:t xml:space="preserve"> industry mature and at scale, like the LNG industry today.</w:t>
            </w:r>
          </w:p>
          <w:p w14:paraId="6EFDCEEC" w14:textId="4467026A" w:rsidR="009548D1" w:rsidRPr="00D00199" w:rsidRDefault="009548D1" w:rsidP="00D00199">
            <w:pPr>
              <w:pStyle w:val="Body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sz w:val="20"/>
                <w:szCs w:val="20"/>
              </w:rPr>
            </w:pPr>
            <w:r w:rsidRPr="00D00199">
              <w:rPr>
                <w:rFonts w:eastAsia="Times New Roman"/>
                <w:sz w:val="20"/>
                <w:szCs w:val="20"/>
              </w:rPr>
              <w:t xml:space="preserve">Australia a global leader in </w:t>
            </w:r>
            <w:r w:rsidR="00400C90" w:rsidRPr="00D00199">
              <w:rPr>
                <w:rFonts w:eastAsia="Times New Roman"/>
                <w:b/>
                <w:sz w:val="20"/>
                <w:szCs w:val="20"/>
              </w:rPr>
              <w:t>H</w:t>
            </w:r>
            <w:r w:rsidR="00400C90" w:rsidRPr="00D00199">
              <w:rPr>
                <w:rFonts w:eastAsia="Times New Roman"/>
                <w:b/>
                <w:sz w:val="20"/>
                <w:szCs w:val="20"/>
                <w:vertAlign w:val="subscript"/>
              </w:rPr>
              <w:t>2</w:t>
            </w:r>
            <w:r w:rsidR="00400C90" w:rsidRPr="00D00199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D00199">
              <w:rPr>
                <w:rFonts w:eastAsia="Times New Roman"/>
                <w:sz w:val="20"/>
                <w:szCs w:val="20"/>
              </w:rPr>
              <w:t>production.</w:t>
            </w:r>
          </w:p>
        </w:tc>
      </w:tr>
      <w:tr w:rsidR="002964A0" w14:paraId="2ED37201" w14:textId="77777777" w:rsidTr="00E21189">
        <w:trPr>
          <w:cantSplit/>
          <w:trHeight w:val="2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  <w:vAlign w:val="center"/>
          </w:tcPr>
          <w:p w14:paraId="73D1DDE5" w14:textId="77777777" w:rsidR="009548D1" w:rsidRPr="000820A6" w:rsidRDefault="009548D1" w:rsidP="00E21189">
            <w:pPr>
              <w:pStyle w:val="Body"/>
              <w:spacing w:line="240" w:lineRule="auto"/>
              <w:rPr>
                <w:sz w:val="20"/>
                <w:szCs w:val="20"/>
              </w:rPr>
            </w:pPr>
            <w:r w:rsidRPr="000820A6">
              <w:rPr>
                <w:sz w:val="20"/>
                <w:szCs w:val="20"/>
              </w:rPr>
              <w:t>Hydrogen Production Scale-Up Milestones</w:t>
            </w:r>
          </w:p>
        </w:tc>
        <w:tc>
          <w:tcPr>
            <w:tcW w:w="0" w:type="auto"/>
            <w:shd w:val="clear" w:color="auto" w:fill="auto"/>
          </w:tcPr>
          <w:p w14:paraId="42BAF807" w14:textId="55A6F5EF" w:rsidR="009548D1" w:rsidRPr="000820A6" w:rsidRDefault="009548D1" w:rsidP="00B2689F">
            <w:pPr>
              <w:pStyle w:val="Body"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0820A6">
              <w:rPr>
                <w:rFonts w:eastAsia="Times New Roman"/>
                <w:b/>
                <w:sz w:val="20"/>
                <w:szCs w:val="20"/>
              </w:rPr>
              <w:t>Late-2020</w:t>
            </w:r>
            <w:r w:rsidRPr="000820A6">
              <w:rPr>
                <w:rFonts w:eastAsia="Times New Roman"/>
                <w:sz w:val="20"/>
                <w:szCs w:val="20"/>
              </w:rPr>
              <w:t>: feasibility studies completed for first</w:t>
            </w:r>
            <w:r w:rsidR="00732553">
              <w:rPr>
                <w:rFonts w:eastAsia="Times New Roman"/>
                <w:sz w:val="20"/>
                <w:szCs w:val="20"/>
              </w:rPr>
              <w:t xml:space="preserve"> 1-10ktpa+scale green H</w:t>
            </w:r>
            <w:r w:rsidR="00732553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="00732553">
              <w:rPr>
                <w:rFonts w:eastAsia="Times New Roman"/>
                <w:sz w:val="20"/>
                <w:szCs w:val="20"/>
              </w:rPr>
              <w:t xml:space="preserve"> electrolyser</w:t>
            </w:r>
            <w:r w:rsidR="005D011C">
              <w:rPr>
                <w:rFonts w:eastAsia="Times New Roman"/>
                <w:sz w:val="20"/>
                <w:szCs w:val="20"/>
              </w:rPr>
              <w:t xml:space="preserve"> projects.</w:t>
            </w:r>
          </w:p>
          <w:p w14:paraId="19C9F5EB" w14:textId="1D5CDEA2" w:rsidR="009548D1" w:rsidRPr="000820A6" w:rsidRDefault="00EC2138" w:rsidP="00B2689F">
            <w:pPr>
              <w:pStyle w:val="Body"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38C2A4" wp14:editId="40CA80B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328295</wp:posOffset>
                      </wp:positionV>
                      <wp:extent cx="45719" cy="57150"/>
                      <wp:effectExtent l="19050" t="19050" r="31115" b="38100"/>
                      <wp:wrapNone/>
                      <wp:docPr id="1" name="Diamon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7150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F6347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1" o:spid="_x0000_s1026" type="#_x0000_t4" style="position:absolute;margin-left:68.25pt;margin-top:25.85pt;width:3.6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" filled="f" strokecolor="black [3213]" strokeweight="1pt"/>
                  </w:pict>
                </mc:Fallback>
              </mc:AlternateContent>
            </w:r>
            <w:r w:rsidR="009548D1" w:rsidRPr="000820A6">
              <w:rPr>
                <w:rFonts w:eastAsia="Times New Roman"/>
                <w:sz w:val="20"/>
                <w:szCs w:val="20"/>
              </w:rPr>
              <w:t xml:space="preserve">Feasibility studies for first small to mid-scale blue </w:t>
            </w:r>
            <w:r w:rsidR="005D011C">
              <w:rPr>
                <w:rFonts w:eastAsia="Times New Roman"/>
                <w:sz w:val="20"/>
                <w:szCs w:val="20"/>
              </w:rPr>
              <w:t>H</w:t>
            </w:r>
            <w:r w:rsidR="005D011C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="009548D1" w:rsidRPr="000820A6">
              <w:rPr>
                <w:rFonts w:eastAsia="Times New Roman"/>
                <w:sz w:val="20"/>
                <w:szCs w:val="20"/>
              </w:rPr>
              <w:t xml:space="preserve"> projects</w:t>
            </w:r>
            <w:r w:rsidR="004561CC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3E44E42D" w14:textId="5090D886" w:rsidR="009548D1" w:rsidRPr="000820A6" w:rsidRDefault="009548D1" w:rsidP="00B2689F">
            <w:pPr>
              <w:pStyle w:val="Body"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0820A6">
              <w:rPr>
                <w:rFonts w:eastAsia="Times New Roman"/>
                <w:b/>
                <w:sz w:val="20"/>
                <w:szCs w:val="20"/>
              </w:rPr>
              <w:t>Mid-2021</w:t>
            </w:r>
            <w:r w:rsidRPr="000820A6">
              <w:rPr>
                <w:rFonts w:eastAsia="Times New Roman"/>
                <w:sz w:val="20"/>
                <w:szCs w:val="20"/>
              </w:rPr>
              <w:t xml:space="preserve">: FID taken on first </w:t>
            </w:r>
            <w:r w:rsidR="00D86260">
              <w:rPr>
                <w:rFonts w:eastAsia="Times New Roman"/>
                <w:sz w:val="20"/>
                <w:szCs w:val="20"/>
              </w:rPr>
              <w:t>10ktpa</w:t>
            </w:r>
            <w:r w:rsidR="004561CC">
              <w:rPr>
                <w:rFonts w:eastAsia="Times New Roman"/>
                <w:sz w:val="20"/>
                <w:szCs w:val="20"/>
              </w:rPr>
              <w:t>+ scale electrolyser projects.</w:t>
            </w:r>
          </w:p>
          <w:p w14:paraId="73F25C99" w14:textId="08F74481" w:rsidR="009548D1" w:rsidRPr="000820A6" w:rsidRDefault="00CE2671" w:rsidP="00B2689F">
            <w:pPr>
              <w:pStyle w:val="Body"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FD605B" wp14:editId="02905E13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158115</wp:posOffset>
                      </wp:positionV>
                      <wp:extent cx="45719" cy="57150"/>
                      <wp:effectExtent l="19050" t="19050" r="31115" b="38100"/>
                      <wp:wrapNone/>
                      <wp:docPr id="3" name="Diamon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7150"/>
                              </a:xfrm>
                              <a:prstGeom prst="diamon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09F57" id="Diamond 3" o:spid="_x0000_s1026" type="#_x0000_t4" style="position:absolute;margin-left:108.2pt;margin-top:12.45pt;width:3.6pt;height: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" filled="f" strokecolor="windowText" strokeweight="1pt"/>
                  </w:pict>
                </mc:Fallback>
              </mc:AlternateContent>
            </w:r>
            <w:r w:rsidR="009548D1" w:rsidRPr="000820A6">
              <w:rPr>
                <w:rFonts w:eastAsia="Times New Roman"/>
                <w:sz w:val="20"/>
                <w:szCs w:val="20"/>
              </w:rPr>
              <w:t xml:space="preserve">FID taken on first small to mid-scale blue </w:t>
            </w:r>
            <w:r w:rsidR="00EC2138">
              <w:rPr>
                <w:rFonts w:eastAsia="Times New Roman"/>
                <w:sz w:val="20"/>
                <w:szCs w:val="20"/>
              </w:rPr>
              <w:t>H</w:t>
            </w:r>
            <w:r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="009548D1" w:rsidRPr="000820A6">
              <w:rPr>
                <w:rFonts w:eastAsia="Times New Roman"/>
                <w:sz w:val="20"/>
                <w:szCs w:val="20"/>
              </w:rPr>
              <w:t xml:space="preserve"> projects.</w:t>
            </w:r>
          </w:p>
        </w:tc>
        <w:tc>
          <w:tcPr>
            <w:tcW w:w="0" w:type="auto"/>
            <w:shd w:val="clear" w:color="auto" w:fill="auto"/>
          </w:tcPr>
          <w:p w14:paraId="3C036E1B" w14:textId="7C17BA79" w:rsidR="009548D1" w:rsidRPr="00D60F26" w:rsidRDefault="00D60F26" w:rsidP="00E21189">
            <w:pPr>
              <w:pStyle w:val="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3F694D" wp14:editId="0E7D6852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471170</wp:posOffset>
                      </wp:positionV>
                      <wp:extent cx="45719" cy="57150"/>
                      <wp:effectExtent l="19050" t="19050" r="31115" b="38100"/>
                      <wp:wrapNone/>
                      <wp:docPr id="4" name="Diamon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7150"/>
                              </a:xfrm>
                              <a:prstGeom prst="diamon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9D111" id="Diamond 4" o:spid="_x0000_s1026" type="#_x0000_t4" style="position:absolute;margin-left:109.1pt;margin-top:37.1pt;width:3.6pt;height: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" filled="f" strokecolor="windowText" strokeweight="1pt"/>
                  </w:pict>
                </mc:Fallback>
              </mc:AlternateContent>
            </w:r>
            <w:r w:rsidR="009548D1" w:rsidRPr="000820A6">
              <w:rPr>
                <w:rFonts w:eastAsia="Times New Roman"/>
                <w:b/>
                <w:sz w:val="20"/>
                <w:szCs w:val="20"/>
              </w:rPr>
              <w:t xml:space="preserve">2022: </w:t>
            </w:r>
            <w:r w:rsidR="009548D1" w:rsidRPr="000820A6">
              <w:rPr>
                <w:rFonts w:eastAsia="Times New Roman"/>
                <w:sz w:val="20"/>
                <w:szCs w:val="20"/>
              </w:rPr>
              <w:t xml:space="preserve">Feasibility studies begin for first </w:t>
            </w:r>
            <w:r w:rsidR="00B2689F">
              <w:rPr>
                <w:rFonts w:eastAsia="Times New Roman"/>
                <w:sz w:val="20"/>
                <w:szCs w:val="20"/>
              </w:rPr>
              <w:t>100ktpa+</w:t>
            </w:r>
            <w:r w:rsidR="009548D1" w:rsidRPr="000820A6">
              <w:rPr>
                <w:rFonts w:eastAsia="Times New Roman"/>
                <w:sz w:val="20"/>
                <w:szCs w:val="20"/>
              </w:rPr>
              <w:t xml:space="preserve"> scale projects.</w:t>
            </w:r>
            <w:r w:rsidR="000C40B9">
              <w:rPr>
                <w:rFonts w:eastAsia="Times New Roman"/>
                <w:sz w:val="20"/>
                <w:szCs w:val="20"/>
              </w:rPr>
              <w:t xml:space="preserve"> This includes the first large scale </w:t>
            </w:r>
            <w:r>
              <w:rPr>
                <w:rFonts w:eastAsia="Times New Roman"/>
                <w:sz w:val="20"/>
                <w:szCs w:val="20"/>
              </w:rPr>
              <w:t>blue</w:t>
            </w:r>
            <w:r w:rsidR="000C40B9">
              <w:rPr>
                <w:rFonts w:eastAsia="Times New Roman"/>
                <w:sz w:val="20"/>
                <w:szCs w:val="20"/>
              </w:rPr>
              <w:t xml:space="preserve"> H</w:t>
            </w:r>
            <w:r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projects  as well as </w:t>
            </w:r>
            <w:r w:rsidR="0009444E">
              <w:rPr>
                <w:rFonts w:eastAsia="Times New Roman"/>
                <w:sz w:val="20"/>
                <w:szCs w:val="20"/>
              </w:rPr>
              <w:t>~1GW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09444E">
              <w:rPr>
                <w:rFonts w:eastAsia="Times New Roman"/>
                <w:sz w:val="20"/>
                <w:szCs w:val="20"/>
              </w:rPr>
              <w:t>scale electrolyser projects.</w:t>
            </w:r>
          </w:p>
        </w:tc>
        <w:tc>
          <w:tcPr>
            <w:tcW w:w="0" w:type="auto"/>
            <w:shd w:val="clear" w:color="auto" w:fill="auto"/>
          </w:tcPr>
          <w:p w14:paraId="6AA3C8EA" w14:textId="29371E78" w:rsidR="009548D1" w:rsidRPr="000820A6" w:rsidRDefault="009548D1" w:rsidP="00E21189">
            <w:pPr>
              <w:pStyle w:val="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0820A6">
              <w:rPr>
                <w:rFonts w:eastAsia="Times New Roman"/>
                <w:b/>
                <w:sz w:val="20"/>
                <w:szCs w:val="20"/>
              </w:rPr>
              <w:t>2023/2024:</w:t>
            </w:r>
            <w:r w:rsidRPr="000820A6">
              <w:rPr>
                <w:rFonts w:eastAsia="Times New Roman"/>
                <w:sz w:val="20"/>
                <w:szCs w:val="20"/>
              </w:rPr>
              <w:t xml:space="preserve"> FID on first </w:t>
            </w:r>
            <w:r w:rsidR="00FD7464">
              <w:rPr>
                <w:rFonts w:eastAsia="Times New Roman"/>
                <w:sz w:val="20"/>
                <w:szCs w:val="20"/>
              </w:rPr>
              <w:t>100ktpa+</w:t>
            </w:r>
            <w:r w:rsidRPr="000820A6">
              <w:rPr>
                <w:rFonts w:eastAsia="Times New Roman"/>
                <w:sz w:val="20"/>
                <w:szCs w:val="20"/>
              </w:rPr>
              <w:t xml:space="preserve"> projects.</w:t>
            </w:r>
          </w:p>
          <w:p w14:paraId="285FA14F" w14:textId="77777777" w:rsidR="009548D1" w:rsidRPr="000820A6" w:rsidRDefault="009548D1" w:rsidP="00E21189">
            <w:pPr>
              <w:pStyle w:val="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7BC278A" w14:textId="612CB517" w:rsidR="009548D1" w:rsidRPr="000820A6" w:rsidRDefault="00B00380" w:rsidP="00E21189">
            <w:pPr>
              <w:pStyle w:val="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56F1B5" wp14:editId="77257E26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322580</wp:posOffset>
                      </wp:positionV>
                      <wp:extent cx="45719" cy="57150"/>
                      <wp:effectExtent l="19050" t="19050" r="31115" b="38100"/>
                      <wp:wrapNone/>
                      <wp:docPr id="5" name="Diamon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7150"/>
                              </a:xfrm>
                              <a:prstGeom prst="diamon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71090" id="Diamond 5" o:spid="_x0000_s1026" type="#_x0000_t4" style="position:absolute;margin-left:32.3pt;margin-top:25.4pt;width:3.6pt;height: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" filled="f" strokecolor="windowText" strokeweight="1pt"/>
                  </w:pict>
                </mc:Fallback>
              </mc:AlternateContent>
            </w:r>
            <w:r w:rsidR="009548D1" w:rsidRPr="000820A6">
              <w:rPr>
                <w:rFonts w:eastAsia="Times New Roman"/>
                <w:sz w:val="20"/>
                <w:szCs w:val="20"/>
              </w:rPr>
              <w:t xml:space="preserve">FID on first large-scale blue </w:t>
            </w:r>
            <w:r>
              <w:rPr>
                <w:rFonts w:eastAsia="Times New Roman"/>
                <w:sz w:val="20"/>
                <w:szCs w:val="20"/>
              </w:rPr>
              <w:t>H</w:t>
            </w:r>
            <w:r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="009548D1" w:rsidRPr="000820A6">
              <w:rPr>
                <w:rFonts w:eastAsia="Times New Roman"/>
                <w:sz w:val="20"/>
                <w:szCs w:val="20"/>
              </w:rPr>
              <w:t xml:space="preserve"> projects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548D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and 1 GW scale electrolyser projects</w:t>
            </w:r>
          </w:p>
        </w:tc>
        <w:tc>
          <w:tcPr>
            <w:tcW w:w="0" w:type="auto"/>
            <w:shd w:val="clear" w:color="auto" w:fill="auto"/>
          </w:tcPr>
          <w:p w14:paraId="0845E328" w14:textId="1EE3E345" w:rsidR="009548D1" w:rsidRPr="000820A6" w:rsidRDefault="009548D1" w:rsidP="00E21189">
            <w:pPr>
              <w:pStyle w:val="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0820A6">
              <w:rPr>
                <w:rFonts w:eastAsia="Times New Roman"/>
                <w:b/>
                <w:sz w:val="20"/>
                <w:szCs w:val="20"/>
              </w:rPr>
              <w:t>2025</w:t>
            </w:r>
            <w:r w:rsidRPr="000820A6">
              <w:rPr>
                <w:rFonts w:eastAsia="Times New Roman"/>
                <w:sz w:val="20"/>
                <w:szCs w:val="20"/>
              </w:rPr>
              <w:t xml:space="preserve">: First </w:t>
            </w:r>
            <w:r w:rsidR="003A622E">
              <w:rPr>
                <w:rFonts w:eastAsia="Times New Roman"/>
                <w:sz w:val="20"/>
                <w:szCs w:val="20"/>
              </w:rPr>
              <w:t>small to midscale 10ktpa+</w:t>
            </w:r>
            <w:r w:rsidRPr="000820A6">
              <w:rPr>
                <w:rFonts w:eastAsia="Times New Roman"/>
                <w:sz w:val="20"/>
                <w:szCs w:val="20"/>
              </w:rPr>
              <w:t xml:space="preserve"> projects online and exporting to Asia.</w:t>
            </w:r>
          </w:p>
          <w:p w14:paraId="29589ED1" w14:textId="27927E19" w:rsidR="009548D1" w:rsidRPr="000820A6" w:rsidRDefault="009548D1" w:rsidP="00E21189">
            <w:pPr>
              <w:pStyle w:val="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7D188C6" w14:textId="5130EB66" w:rsidR="009548D1" w:rsidRPr="000820A6" w:rsidRDefault="009548D1" w:rsidP="00E21189">
            <w:pPr>
              <w:pStyle w:val="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0820A6">
              <w:rPr>
                <w:rFonts w:eastAsia="Times New Roman"/>
                <w:b/>
                <w:sz w:val="20"/>
                <w:szCs w:val="20"/>
              </w:rPr>
              <w:t xml:space="preserve">2030: </w:t>
            </w:r>
            <w:r w:rsidRPr="000820A6">
              <w:rPr>
                <w:rFonts w:eastAsia="Times New Roman"/>
                <w:sz w:val="20"/>
                <w:szCs w:val="20"/>
              </w:rPr>
              <w:t xml:space="preserve">First </w:t>
            </w:r>
            <w:r w:rsidR="003A622E">
              <w:rPr>
                <w:rFonts w:eastAsia="Times New Roman"/>
                <w:sz w:val="20"/>
                <w:szCs w:val="20"/>
              </w:rPr>
              <w:t>100</w:t>
            </w:r>
            <w:r w:rsidR="0077623C">
              <w:rPr>
                <w:rFonts w:eastAsia="Times New Roman"/>
                <w:sz w:val="20"/>
                <w:szCs w:val="20"/>
              </w:rPr>
              <w:t>ktpa+</w:t>
            </w:r>
            <w:r w:rsidRPr="000820A6">
              <w:rPr>
                <w:rFonts w:eastAsia="Times New Roman"/>
                <w:sz w:val="20"/>
                <w:szCs w:val="20"/>
              </w:rPr>
              <w:t xml:space="preserve"> projects online and exporting to Asia.</w:t>
            </w:r>
          </w:p>
          <w:p w14:paraId="563810E2" w14:textId="675AD60F" w:rsidR="009548D1" w:rsidRPr="000820A6" w:rsidRDefault="009548D1" w:rsidP="00E21189">
            <w:pPr>
              <w:pStyle w:val="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FEC9C19" w14:textId="0D2391A4" w:rsidR="009548D1" w:rsidRPr="000820A6" w:rsidRDefault="009548D1" w:rsidP="00E21189">
            <w:pPr>
              <w:pStyle w:val="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20A6">
              <w:rPr>
                <w:b/>
                <w:sz w:val="20"/>
                <w:szCs w:val="20"/>
              </w:rPr>
              <w:t xml:space="preserve">2035: </w:t>
            </w:r>
            <w:r w:rsidRPr="000820A6">
              <w:rPr>
                <w:sz w:val="20"/>
                <w:szCs w:val="20"/>
              </w:rPr>
              <w:t xml:space="preserve">Expansion of smaller-scale and large-scale facilities to meet increasing demand for hydrogen in Asia. Australia established as trusted </w:t>
            </w:r>
            <w:r w:rsidR="005E7676">
              <w:rPr>
                <w:sz w:val="20"/>
                <w:szCs w:val="20"/>
              </w:rPr>
              <w:t>H</w:t>
            </w:r>
            <w:r w:rsidR="005E7676">
              <w:rPr>
                <w:sz w:val="20"/>
                <w:szCs w:val="20"/>
                <w:vertAlign w:val="subscript"/>
              </w:rPr>
              <w:t>2</w:t>
            </w:r>
            <w:r w:rsidRPr="000820A6">
              <w:rPr>
                <w:sz w:val="20"/>
                <w:szCs w:val="20"/>
              </w:rPr>
              <w:t xml:space="preserve"> export partner.</w:t>
            </w:r>
          </w:p>
        </w:tc>
        <w:tc>
          <w:tcPr>
            <w:tcW w:w="0" w:type="auto"/>
            <w:shd w:val="clear" w:color="auto" w:fill="auto"/>
          </w:tcPr>
          <w:p w14:paraId="732D376E" w14:textId="63A06A10" w:rsidR="009548D1" w:rsidRPr="000820A6" w:rsidRDefault="009548D1" w:rsidP="00E21189">
            <w:pPr>
              <w:pStyle w:val="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20A6">
              <w:rPr>
                <w:rFonts w:eastAsia="Times New Roman"/>
                <w:b/>
                <w:sz w:val="20"/>
                <w:szCs w:val="20"/>
              </w:rPr>
              <w:t>2040:</w:t>
            </w:r>
            <w:r w:rsidR="005E7676">
              <w:rPr>
                <w:rFonts w:eastAsia="Times New Roman"/>
                <w:sz w:val="20"/>
                <w:szCs w:val="20"/>
              </w:rPr>
              <w:t xml:space="preserve"> H</w:t>
            </w:r>
            <w:r w:rsidR="005E7676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0820A6">
              <w:rPr>
                <w:rFonts w:eastAsia="Times New Roman"/>
                <w:sz w:val="20"/>
                <w:szCs w:val="20"/>
              </w:rPr>
              <w:t xml:space="preserve"> export industry in Australia growing and approaching maturity. </w:t>
            </w:r>
            <w:r w:rsidR="005E7676">
              <w:rPr>
                <w:rFonts w:eastAsia="Times New Roman"/>
                <w:sz w:val="20"/>
                <w:szCs w:val="20"/>
              </w:rPr>
              <w:t>100ktpa+</w:t>
            </w:r>
            <w:r w:rsidRPr="000820A6">
              <w:rPr>
                <w:rFonts w:eastAsia="Times New Roman"/>
                <w:sz w:val="20"/>
                <w:szCs w:val="20"/>
              </w:rPr>
              <w:t xml:space="preserve"> projects the norm.</w:t>
            </w:r>
          </w:p>
        </w:tc>
        <w:tc>
          <w:tcPr>
            <w:tcW w:w="0" w:type="auto"/>
            <w:shd w:val="clear" w:color="auto" w:fill="auto"/>
          </w:tcPr>
          <w:p w14:paraId="28B47AB0" w14:textId="4F7F6E34" w:rsidR="009548D1" w:rsidRPr="000820A6" w:rsidRDefault="009548D1" w:rsidP="00E21189">
            <w:pPr>
              <w:pStyle w:val="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20A6">
              <w:rPr>
                <w:rFonts w:eastAsia="Times New Roman"/>
                <w:b/>
                <w:sz w:val="20"/>
                <w:szCs w:val="20"/>
              </w:rPr>
              <w:t xml:space="preserve">2050: </w:t>
            </w:r>
            <w:r w:rsidR="007C081F">
              <w:rPr>
                <w:rFonts w:eastAsia="Times New Roman"/>
                <w:b/>
                <w:sz w:val="20"/>
                <w:szCs w:val="20"/>
              </w:rPr>
              <w:t>E</w:t>
            </w:r>
            <w:r w:rsidRPr="000820A6">
              <w:rPr>
                <w:rFonts w:eastAsia="Times New Roman"/>
                <w:sz w:val="20"/>
                <w:szCs w:val="20"/>
              </w:rPr>
              <w:t xml:space="preserve">xport industry mature and at scale, </w:t>
            </w:r>
            <w:proofErr w:type="gramStart"/>
            <w:r w:rsidRPr="000820A6">
              <w:rPr>
                <w:rFonts w:eastAsia="Times New Roman"/>
                <w:sz w:val="20"/>
                <w:szCs w:val="20"/>
              </w:rPr>
              <w:t>similar to</w:t>
            </w:r>
            <w:proofErr w:type="gramEnd"/>
            <w:r w:rsidRPr="000820A6">
              <w:rPr>
                <w:rFonts w:eastAsia="Times New Roman"/>
                <w:sz w:val="20"/>
                <w:szCs w:val="20"/>
              </w:rPr>
              <w:t xml:space="preserve"> the maturity of the LNG industry.</w:t>
            </w:r>
          </w:p>
        </w:tc>
      </w:tr>
      <w:tr w:rsidR="002964A0" w14:paraId="767ADB01" w14:textId="77777777" w:rsidTr="00073220">
        <w:trPr>
          <w:trHeight w:val="1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  <w:vAlign w:val="center"/>
          </w:tcPr>
          <w:p w14:paraId="00C94F75" w14:textId="77777777" w:rsidR="002964A0" w:rsidRPr="000820A6" w:rsidRDefault="002964A0" w:rsidP="00E21189">
            <w:pPr>
              <w:pStyle w:val="Body"/>
              <w:spacing w:line="240" w:lineRule="auto"/>
              <w:rPr>
                <w:sz w:val="20"/>
                <w:szCs w:val="20"/>
              </w:rPr>
            </w:pPr>
            <w:r w:rsidRPr="000820A6">
              <w:rPr>
                <w:sz w:val="20"/>
                <w:szCs w:val="20"/>
              </w:rPr>
              <w:t>Funding Milestones</w:t>
            </w:r>
          </w:p>
        </w:tc>
        <w:tc>
          <w:tcPr>
            <w:tcW w:w="0" w:type="auto"/>
            <w:shd w:val="clear" w:color="auto" w:fill="auto"/>
          </w:tcPr>
          <w:p w14:paraId="54128735" w14:textId="77777777" w:rsidR="002964A0" w:rsidRDefault="002964A0" w:rsidP="00E21189">
            <w:pPr>
              <w:pStyle w:val="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0820A6">
              <w:rPr>
                <w:rFonts w:eastAsia="Times New Roman"/>
                <w:b/>
                <w:sz w:val="20"/>
                <w:szCs w:val="20"/>
              </w:rPr>
              <w:t>Mid-2020</w:t>
            </w:r>
            <w:r w:rsidRPr="000820A6">
              <w:rPr>
                <w:rFonts w:eastAsia="Times New Roman"/>
                <w:sz w:val="20"/>
                <w:szCs w:val="20"/>
              </w:rPr>
              <w:t>: ARENA H</w:t>
            </w:r>
            <w:r w:rsidRPr="000820A6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0820A6">
              <w:rPr>
                <w:rFonts w:eastAsia="Times New Roman"/>
                <w:sz w:val="20"/>
                <w:szCs w:val="20"/>
              </w:rPr>
              <w:t xml:space="preserve"> funding allocated to kick-start feasibility studies and pre-FEED studies.</w:t>
            </w:r>
          </w:p>
          <w:p w14:paraId="45F9ECBB" w14:textId="0A6B5987" w:rsidR="002964A0" w:rsidRPr="000820A6" w:rsidRDefault="002964A0" w:rsidP="00E21189">
            <w:pPr>
              <w:pStyle w:val="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ARENA provided further funds to mid-2022</w:t>
            </w:r>
          </w:p>
        </w:tc>
        <w:tc>
          <w:tcPr>
            <w:tcW w:w="0" w:type="auto"/>
            <w:shd w:val="clear" w:color="auto" w:fill="auto"/>
          </w:tcPr>
          <w:p w14:paraId="1FFBA8BD" w14:textId="428CE62B" w:rsidR="002964A0" w:rsidRPr="000820A6" w:rsidRDefault="002964A0" w:rsidP="00E21189">
            <w:pPr>
              <w:pStyle w:val="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0820A6">
              <w:rPr>
                <w:rFonts w:eastAsia="Times New Roman"/>
                <w:b/>
                <w:sz w:val="20"/>
                <w:szCs w:val="20"/>
              </w:rPr>
              <w:t>Early 2021</w:t>
            </w:r>
            <w:r w:rsidRPr="000820A6">
              <w:rPr>
                <w:rFonts w:eastAsia="Times New Roman"/>
                <w:sz w:val="20"/>
                <w:szCs w:val="20"/>
              </w:rPr>
              <w:t xml:space="preserve">: ARENA 2.0 (or </w:t>
            </w:r>
            <w:r>
              <w:rPr>
                <w:rFonts w:eastAsia="Times New Roman"/>
                <w:sz w:val="20"/>
                <w:szCs w:val="20"/>
              </w:rPr>
              <w:t>alternative</w:t>
            </w:r>
            <w:r w:rsidRPr="000820A6">
              <w:rPr>
                <w:rFonts w:eastAsia="Times New Roman"/>
                <w:sz w:val="20"/>
                <w:szCs w:val="20"/>
              </w:rPr>
              <w:t>) legislation passed to fund renewable investment</w:t>
            </w:r>
            <w:r>
              <w:rPr>
                <w:rFonts w:eastAsia="Times New Roman"/>
                <w:sz w:val="20"/>
                <w:szCs w:val="20"/>
              </w:rPr>
              <w:t xml:space="preserve"> after mid-2022</w:t>
            </w:r>
            <w:r w:rsidRPr="000820A6">
              <w:rPr>
                <w:rFonts w:eastAsia="Times New Roman"/>
                <w:sz w:val="20"/>
                <w:szCs w:val="20"/>
              </w:rPr>
              <w:t xml:space="preserve">, with </w:t>
            </w:r>
            <w:r w:rsidRPr="000820A6">
              <w:rPr>
                <w:rFonts w:eastAsia="Times New Roman"/>
                <w:b/>
                <w:sz w:val="20"/>
                <w:szCs w:val="20"/>
              </w:rPr>
              <w:t>A$</w:t>
            </w:r>
            <w:r>
              <w:rPr>
                <w:rFonts w:eastAsia="Times New Roman"/>
                <w:b/>
                <w:sz w:val="20"/>
                <w:szCs w:val="20"/>
              </w:rPr>
              <w:t>&gt;2</w:t>
            </w:r>
            <w:r w:rsidRPr="000820A6">
              <w:rPr>
                <w:rFonts w:eastAsia="Times New Roman"/>
                <w:b/>
                <w:sz w:val="20"/>
                <w:szCs w:val="20"/>
              </w:rPr>
              <w:t xml:space="preserve">bn in </w:t>
            </w:r>
            <w:r>
              <w:rPr>
                <w:rFonts w:eastAsia="Times New Roman"/>
                <w:b/>
                <w:sz w:val="20"/>
                <w:szCs w:val="20"/>
              </w:rPr>
              <w:t>H</w:t>
            </w:r>
            <w:r>
              <w:rPr>
                <w:rFonts w:eastAsia="Times New Roman"/>
                <w:b/>
                <w:sz w:val="20"/>
                <w:szCs w:val="20"/>
                <w:vertAlign w:val="subscript"/>
              </w:rPr>
              <w:t>2</w:t>
            </w:r>
            <w:r w:rsidRPr="000820A6">
              <w:rPr>
                <w:rFonts w:eastAsia="Times New Roman"/>
                <w:b/>
                <w:sz w:val="20"/>
                <w:szCs w:val="20"/>
              </w:rPr>
              <w:t xml:space="preserve"> investment</w:t>
            </w:r>
            <w:r w:rsidRPr="000820A6">
              <w:rPr>
                <w:rFonts w:eastAsia="Times New Roman"/>
                <w:sz w:val="20"/>
                <w:szCs w:val="20"/>
              </w:rPr>
              <w:t xml:space="preserve"> </w:t>
            </w:r>
            <w:r w:rsidRPr="000820A6">
              <w:rPr>
                <w:rFonts w:eastAsia="Times New Roman"/>
                <w:b/>
                <w:sz w:val="20"/>
                <w:szCs w:val="20"/>
              </w:rPr>
              <w:t>allocat</w:t>
            </w:r>
            <w:r>
              <w:rPr>
                <w:rFonts w:eastAsia="Times New Roman"/>
                <w:b/>
                <w:sz w:val="20"/>
                <w:szCs w:val="20"/>
              </w:rPr>
              <w:t>ed</w:t>
            </w:r>
            <w:r w:rsidRPr="000820A6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1114FC25" w14:textId="77777777" w:rsidR="002964A0" w:rsidRPr="000820A6" w:rsidRDefault="002964A0" w:rsidP="00E21189">
            <w:pPr>
              <w:pStyle w:val="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0820A6">
              <w:rPr>
                <w:rFonts w:eastAsia="Times New Roman"/>
                <w:b/>
                <w:sz w:val="20"/>
                <w:szCs w:val="20"/>
              </w:rPr>
              <w:t>Mid-2022</w:t>
            </w:r>
            <w:r w:rsidRPr="000820A6">
              <w:rPr>
                <w:rFonts w:eastAsia="Times New Roman"/>
                <w:sz w:val="20"/>
                <w:szCs w:val="20"/>
              </w:rPr>
              <w:t>: ARENA 2.0 (or alternative) funds available.</w:t>
            </w:r>
          </w:p>
          <w:p w14:paraId="6D19E331" w14:textId="77777777" w:rsidR="002964A0" w:rsidRPr="000820A6" w:rsidRDefault="002964A0" w:rsidP="00E21189">
            <w:pPr>
              <w:pStyle w:val="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  <w:p w14:paraId="5BF8ECF6" w14:textId="77777777" w:rsidR="002964A0" w:rsidRPr="000820A6" w:rsidRDefault="002964A0" w:rsidP="00E21189">
            <w:pPr>
              <w:pStyle w:val="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  <w:p w14:paraId="43538750" w14:textId="77777777" w:rsidR="002964A0" w:rsidRPr="000820A6" w:rsidRDefault="002964A0" w:rsidP="00E21189">
            <w:pPr>
              <w:pStyle w:val="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  <w:tr w:rsidR="00B93B11" w14:paraId="22691D8A" w14:textId="77777777" w:rsidTr="0022521E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vAlign w:val="center"/>
          </w:tcPr>
          <w:p w14:paraId="6230B87C" w14:textId="77777777" w:rsidR="009548D1" w:rsidRPr="000820A6" w:rsidRDefault="009548D1" w:rsidP="00E21189">
            <w:pPr>
              <w:pStyle w:val="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Certificate of origin </w:t>
            </w:r>
          </w:p>
        </w:tc>
        <w:tc>
          <w:tcPr>
            <w:tcW w:w="0" w:type="auto"/>
            <w:shd w:val="clear" w:color="auto" w:fill="FFFF00"/>
          </w:tcPr>
          <w:p w14:paraId="02226875" w14:textId="3C31EFC4" w:rsidR="009548D1" w:rsidRPr="000820A6" w:rsidRDefault="009548D1" w:rsidP="00E21189">
            <w:pPr>
              <w:pStyle w:val="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Late-2020: </w:t>
            </w:r>
            <w:r>
              <w:t xml:space="preserve"> </w:t>
            </w:r>
            <w:r w:rsidRPr="00AE04B9">
              <w:rPr>
                <w:rFonts w:eastAsia="Times New Roman"/>
                <w:sz w:val="20"/>
                <w:szCs w:val="20"/>
              </w:rPr>
              <w:t>Governance structure for scheme administration finalised</w:t>
            </w:r>
          </w:p>
        </w:tc>
        <w:tc>
          <w:tcPr>
            <w:tcW w:w="0" w:type="auto"/>
            <w:shd w:val="clear" w:color="auto" w:fill="FFFF00"/>
          </w:tcPr>
          <w:p w14:paraId="7D0E0A32" w14:textId="77777777" w:rsidR="009548D1" w:rsidRPr="00355AE9" w:rsidRDefault="009548D1" w:rsidP="00E21189">
            <w:pPr>
              <w:pStyle w:val="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355AE9">
              <w:rPr>
                <w:rFonts w:eastAsia="Times New Roman"/>
                <w:b/>
                <w:sz w:val="20"/>
                <w:szCs w:val="20"/>
              </w:rPr>
              <w:t>Feb 2021</w:t>
            </w:r>
            <w:r w:rsidRPr="00355AE9">
              <w:rPr>
                <w:rFonts w:eastAsia="Times New Roman"/>
                <w:sz w:val="20"/>
                <w:szCs w:val="20"/>
              </w:rPr>
              <w:t xml:space="preserve">: Definitions of hydrogen classes finalised so FID can be made </w:t>
            </w:r>
          </w:p>
          <w:p w14:paraId="1EAA1B20" w14:textId="77777777" w:rsidR="009548D1" w:rsidRPr="00355AE9" w:rsidRDefault="009548D1" w:rsidP="00E21189">
            <w:pPr>
              <w:pStyle w:val="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  <w:p w14:paraId="7EDF67DF" w14:textId="77777777" w:rsidR="009548D1" w:rsidRPr="00355AE9" w:rsidRDefault="009548D1" w:rsidP="00E21189">
            <w:pPr>
              <w:pStyle w:val="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00"/>
          </w:tcPr>
          <w:p w14:paraId="5BA0E0A1" w14:textId="77777777" w:rsidR="009548D1" w:rsidRPr="00355AE9" w:rsidRDefault="009548D1" w:rsidP="00E21189">
            <w:pPr>
              <w:pStyle w:val="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355AE9">
              <w:rPr>
                <w:rFonts w:eastAsia="Times New Roman"/>
                <w:b/>
                <w:sz w:val="20"/>
                <w:szCs w:val="20"/>
              </w:rPr>
              <w:t>Mid-2022:</w:t>
            </w:r>
            <w:r w:rsidRPr="00355AE9">
              <w:rPr>
                <w:rFonts w:eastAsia="Times New Roman"/>
                <w:sz w:val="20"/>
                <w:szCs w:val="20"/>
              </w:rPr>
              <w:t xml:space="preserve"> Accounting methodology/ compliance framework for hydrogen classifications finalised</w:t>
            </w:r>
          </w:p>
        </w:tc>
        <w:tc>
          <w:tcPr>
            <w:tcW w:w="0" w:type="auto"/>
            <w:shd w:val="clear" w:color="auto" w:fill="FFFF00"/>
          </w:tcPr>
          <w:p w14:paraId="45D65BD3" w14:textId="77777777" w:rsidR="009548D1" w:rsidRPr="000820A6" w:rsidRDefault="009548D1" w:rsidP="00E21189">
            <w:pPr>
              <w:pStyle w:val="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831936">
              <w:rPr>
                <w:rFonts w:eastAsia="Times New Roman"/>
                <w:b/>
                <w:sz w:val="20"/>
                <w:szCs w:val="20"/>
              </w:rPr>
              <w:t>End</w:t>
            </w:r>
            <w:r>
              <w:rPr>
                <w:rFonts w:eastAsia="Times New Roman"/>
                <w:b/>
                <w:sz w:val="20"/>
                <w:szCs w:val="20"/>
              </w:rPr>
              <w:t>-</w:t>
            </w:r>
            <w:r w:rsidRPr="00831936">
              <w:rPr>
                <w:rFonts w:eastAsia="Times New Roman"/>
                <w:b/>
                <w:sz w:val="20"/>
                <w:szCs w:val="20"/>
              </w:rPr>
              <w:t>2024:</w:t>
            </w:r>
            <w:r>
              <w:rPr>
                <w:rFonts w:eastAsia="Times New Roman"/>
                <w:sz w:val="20"/>
                <w:szCs w:val="20"/>
              </w:rPr>
              <w:t xml:space="preserve"> Export Certification Scheme operational to support first cargo in 2025</w:t>
            </w:r>
          </w:p>
        </w:tc>
        <w:tc>
          <w:tcPr>
            <w:tcW w:w="0" w:type="auto"/>
            <w:shd w:val="clear" w:color="auto" w:fill="FFFF00"/>
          </w:tcPr>
          <w:p w14:paraId="4B8D979A" w14:textId="77777777" w:rsidR="009548D1" w:rsidRPr="000820A6" w:rsidRDefault="009548D1" w:rsidP="00E21189">
            <w:pPr>
              <w:pStyle w:val="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00"/>
          </w:tcPr>
          <w:p w14:paraId="11FDC2A5" w14:textId="77777777" w:rsidR="009548D1" w:rsidRPr="000820A6" w:rsidRDefault="009548D1" w:rsidP="00E21189">
            <w:pPr>
              <w:pStyle w:val="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00"/>
          </w:tcPr>
          <w:p w14:paraId="4F20E34C" w14:textId="77777777" w:rsidR="009548D1" w:rsidRPr="000820A6" w:rsidRDefault="009548D1" w:rsidP="00E21189">
            <w:pPr>
              <w:pStyle w:val="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00"/>
          </w:tcPr>
          <w:p w14:paraId="3BBCACA8" w14:textId="77777777" w:rsidR="009548D1" w:rsidRPr="000820A6" w:rsidRDefault="009548D1" w:rsidP="00E21189">
            <w:pPr>
              <w:pStyle w:val="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00"/>
          </w:tcPr>
          <w:p w14:paraId="50387EE6" w14:textId="77777777" w:rsidR="009548D1" w:rsidRPr="000820A6" w:rsidRDefault="009548D1" w:rsidP="00E21189">
            <w:pPr>
              <w:pStyle w:val="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5A35730" w14:textId="0DEC8425" w:rsidR="00A877DC" w:rsidRDefault="00EC2138" w:rsidP="00A877D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3CA60" wp14:editId="28460F65">
                <wp:simplePos x="0" y="0"/>
                <wp:positionH relativeFrom="column">
                  <wp:posOffset>847725</wp:posOffset>
                </wp:positionH>
                <wp:positionV relativeFrom="paragraph">
                  <wp:posOffset>5946775</wp:posOffset>
                </wp:positionV>
                <wp:extent cx="45719" cy="57150"/>
                <wp:effectExtent l="19050" t="19050" r="31115" b="38100"/>
                <wp:wrapNone/>
                <wp:docPr id="2" name="Diamon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150"/>
                        </a:xfrm>
                        <a:prstGeom prst="diamon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915D1" id="Diamond 2" o:spid="_x0000_s1026" type="#_x0000_t4" style="position:absolute;margin-left:66.75pt;margin-top:468.25pt;width:3.6pt;height: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" filled="f" strokecolor="windowText" strokeweight="1pt"/>
            </w:pict>
          </mc:Fallback>
        </mc:AlternateContent>
      </w:r>
      <w:r w:rsidR="002240E9">
        <w:t xml:space="preserve">                              Using SMR + CCS/offsets</w:t>
      </w:r>
    </w:p>
    <w:sectPr w:rsidR="00A877DC" w:rsidSect="009548D1">
      <w:pgSz w:w="23811" w:h="16838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FF782" w14:textId="77777777" w:rsidR="00B06F6F" w:rsidRDefault="00B06F6F" w:rsidP="00A73BBF">
      <w:pPr>
        <w:spacing w:after="0" w:line="240" w:lineRule="auto"/>
      </w:pPr>
      <w:r>
        <w:separator/>
      </w:r>
    </w:p>
  </w:endnote>
  <w:endnote w:type="continuationSeparator" w:id="0">
    <w:p w14:paraId="3DCD8E5E" w14:textId="77777777" w:rsidR="00B06F6F" w:rsidRDefault="00B06F6F" w:rsidP="00A73BBF">
      <w:pPr>
        <w:spacing w:after="0" w:line="240" w:lineRule="auto"/>
      </w:pPr>
      <w:r>
        <w:continuationSeparator/>
      </w:r>
    </w:p>
  </w:endnote>
  <w:endnote w:type="continuationNotice" w:id="1">
    <w:p w14:paraId="2D73AF4D" w14:textId="77777777" w:rsidR="00B06F6F" w:rsidRDefault="00B06F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7ED6A" w14:textId="77777777" w:rsidR="00B06F6F" w:rsidRDefault="00B06F6F" w:rsidP="00A73BBF">
      <w:pPr>
        <w:spacing w:after="0" w:line="240" w:lineRule="auto"/>
      </w:pPr>
      <w:r>
        <w:separator/>
      </w:r>
    </w:p>
  </w:footnote>
  <w:footnote w:type="continuationSeparator" w:id="0">
    <w:p w14:paraId="56DA12D5" w14:textId="77777777" w:rsidR="00B06F6F" w:rsidRDefault="00B06F6F" w:rsidP="00A73BBF">
      <w:pPr>
        <w:spacing w:after="0" w:line="240" w:lineRule="auto"/>
      </w:pPr>
      <w:r>
        <w:continuationSeparator/>
      </w:r>
    </w:p>
  </w:footnote>
  <w:footnote w:type="continuationNotice" w:id="1">
    <w:p w14:paraId="3EF91EEE" w14:textId="77777777" w:rsidR="00B06F6F" w:rsidRDefault="00B06F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D111D" w14:textId="7BD0086C" w:rsidR="000D33B0" w:rsidRDefault="000D33B0" w:rsidP="000D33B0">
    <w:pPr>
      <w:pStyle w:val="Header"/>
    </w:pPr>
    <w:r>
      <w:t xml:space="preserve">Certification Discussion Paper – Export Working Group </w:t>
    </w:r>
    <w:r w:rsidR="006A7333">
      <w:tab/>
      <w:t>August 2020</w:t>
    </w:r>
  </w:p>
  <w:p w14:paraId="7FA96649" w14:textId="77777777" w:rsidR="000D33B0" w:rsidRDefault="000D3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3B8"/>
    <w:multiLevelType w:val="hybridMultilevel"/>
    <w:tmpl w:val="911208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C743B"/>
    <w:multiLevelType w:val="hybridMultilevel"/>
    <w:tmpl w:val="82AA4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67D43"/>
    <w:multiLevelType w:val="hybridMultilevel"/>
    <w:tmpl w:val="7CE01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273E4"/>
    <w:multiLevelType w:val="hybridMultilevel"/>
    <w:tmpl w:val="A1E8B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B179B"/>
    <w:multiLevelType w:val="hybridMultilevel"/>
    <w:tmpl w:val="00B436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A3745A"/>
    <w:multiLevelType w:val="hybridMultilevel"/>
    <w:tmpl w:val="DC78A2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F0796"/>
    <w:multiLevelType w:val="hybridMultilevel"/>
    <w:tmpl w:val="8910D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61D94"/>
    <w:multiLevelType w:val="hybridMultilevel"/>
    <w:tmpl w:val="B3AEA3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F27BC"/>
    <w:multiLevelType w:val="hybridMultilevel"/>
    <w:tmpl w:val="3844F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C6C5C"/>
    <w:multiLevelType w:val="hybridMultilevel"/>
    <w:tmpl w:val="AC20B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A3772"/>
    <w:multiLevelType w:val="hybridMultilevel"/>
    <w:tmpl w:val="A13AD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52150"/>
    <w:multiLevelType w:val="hybridMultilevel"/>
    <w:tmpl w:val="788C1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96F55"/>
    <w:multiLevelType w:val="hybridMultilevel"/>
    <w:tmpl w:val="B0400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D6024"/>
    <w:multiLevelType w:val="hybridMultilevel"/>
    <w:tmpl w:val="07F81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E54EF"/>
    <w:multiLevelType w:val="hybridMultilevel"/>
    <w:tmpl w:val="87BEF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406D8"/>
    <w:multiLevelType w:val="hybridMultilevel"/>
    <w:tmpl w:val="15BAFCAC"/>
    <w:lvl w:ilvl="0" w:tplc="A09C1B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E0073"/>
    <w:multiLevelType w:val="hybridMultilevel"/>
    <w:tmpl w:val="7DB895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15"/>
  </w:num>
  <w:num w:numId="6">
    <w:abstractNumId w:val="16"/>
  </w:num>
  <w:num w:numId="7">
    <w:abstractNumId w:val="0"/>
  </w:num>
  <w:num w:numId="8">
    <w:abstractNumId w:val="9"/>
  </w:num>
  <w:num w:numId="9">
    <w:abstractNumId w:val="13"/>
  </w:num>
  <w:num w:numId="10">
    <w:abstractNumId w:val="11"/>
  </w:num>
  <w:num w:numId="11">
    <w:abstractNumId w:val="1"/>
  </w:num>
  <w:num w:numId="12">
    <w:abstractNumId w:val="5"/>
  </w:num>
  <w:num w:numId="13">
    <w:abstractNumId w:val="12"/>
  </w:num>
  <w:num w:numId="14">
    <w:abstractNumId w:val="4"/>
  </w:num>
  <w:num w:numId="15">
    <w:abstractNumId w:val="14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12"/>
    <w:rsid w:val="00002EDC"/>
    <w:rsid w:val="00015CD0"/>
    <w:rsid w:val="00022B12"/>
    <w:rsid w:val="00027350"/>
    <w:rsid w:val="000354EC"/>
    <w:rsid w:val="000430DC"/>
    <w:rsid w:val="00047696"/>
    <w:rsid w:val="00060EC1"/>
    <w:rsid w:val="00066E34"/>
    <w:rsid w:val="00086F02"/>
    <w:rsid w:val="00091C11"/>
    <w:rsid w:val="0009444E"/>
    <w:rsid w:val="000A1F3C"/>
    <w:rsid w:val="000A667E"/>
    <w:rsid w:val="000B6E5F"/>
    <w:rsid w:val="000B7464"/>
    <w:rsid w:val="000C166E"/>
    <w:rsid w:val="000C40B9"/>
    <w:rsid w:val="000D082D"/>
    <w:rsid w:val="000D2B5B"/>
    <w:rsid w:val="000D33B0"/>
    <w:rsid w:val="00100228"/>
    <w:rsid w:val="00131A16"/>
    <w:rsid w:val="001352A3"/>
    <w:rsid w:val="00141C94"/>
    <w:rsid w:val="00152D10"/>
    <w:rsid w:val="00154AB3"/>
    <w:rsid w:val="00156D10"/>
    <w:rsid w:val="0017164E"/>
    <w:rsid w:val="00191DED"/>
    <w:rsid w:val="001926D9"/>
    <w:rsid w:val="001969F8"/>
    <w:rsid w:val="001A6E76"/>
    <w:rsid w:val="001B504F"/>
    <w:rsid w:val="001D674A"/>
    <w:rsid w:val="001D76E8"/>
    <w:rsid w:val="001E3901"/>
    <w:rsid w:val="001E78E8"/>
    <w:rsid w:val="001F737A"/>
    <w:rsid w:val="00200D84"/>
    <w:rsid w:val="0021021F"/>
    <w:rsid w:val="002240E9"/>
    <w:rsid w:val="00224364"/>
    <w:rsid w:val="002244DD"/>
    <w:rsid w:val="0022521E"/>
    <w:rsid w:val="002407D0"/>
    <w:rsid w:val="0024413B"/>
    <w:rsid w:val="00257D30"/>
    <w:rsid w:val="00261472"/>
    <w:rsid w:val="0026156F"/>
    <w:rsid w:val="002665B6"/>
    <w:rsid w:val="002811C6"/>
    <w:rsid w:val="00282A19"/>
    <w:rsid w:val="00283AA2"/>
    <w:rsid w:val="00287B44"/>
    <w:rsid w:val="002938C0"/>
    <w:rsid w:val="002964A0"/>
    <w:rsid w:val="002A2BB0"/>
    <w:rsid w:val="002A54E1"/>
    <w:rsid w:val="002B4BBE"/>
    <w:rsid w:val="002B511B"/>
    <w:rsid w:val="0030465F"/>
    <w:rsid w:val="003117AD"/>
    <w:rsid w:val="003248EA"/>
    <w:rsid w:val="00330A4E"/>
    <w:rsid w:val="0033449F"/>
    <w:rsid w:val="003413C8"/>
    <w:rsid w:val="00345215"/>
    <w:rsid w:val="003611BE"/>
    <w:rsid w:val="00362848"/>
    <w:rsid w:val="00363E8A"/>
    <w:rsid w:val="00364576"/>
    <w:rsid w:val="00367C47"/>
    <w:rsid w:val="00372E7C"/>
    <w:rsid w:val="0037330F"/>
    <w:rsid w:val="0037637B"/>
    <w:rsid w:val="0038097A"/>
    <w:rsid w:val="003854A8"/>
    <w:rsid w:val="0039095E"/>
    <w:rsid w:val="00391410"/>
    <w:rsid w:val="003A622E"/>
    <w:rsid w:val="003B16EC"/>
    <w:rsid w:val="003B2BCD"/>
    <w:rsid w:val="003B6315"/>
    <w:rsid w:val="003C047C"/>
    <w:rsid w:val="003D01BC"/>
    <w:rsid w:val="003F126A"/>
    <w:rsid w:val="003F65F7"/>
    <w:rsid w:val="00400C90"/>
    <w:rsid w:val="0041696B"/>
    <w:rsid w:val="00436286"/>
    <w:rsid w:val="004366FE"/>
    <w:rsid w:val="00437B9B"/>
    <w:rsid w:val="00442BEA"/>
    <w:rsid w:val="004561CC"/>
    <w:rsid w:val="00470083"/>
    <w:rsid w:val="00472661"/>
    <w:rsid w:val="0049733B"/>
    <w:rsid w:val="004A060E"/>
    <w:rsid w:val="004A6A48"/>
    <w:rsid w:val="004A7D69"/>
    <w:rsid w:val="004C0E86"/>
    <w:rsid w:val="004C6307"/>
    <w:rsid w:val="004D74AA"/>
    <w:rsid w:val="004F2EB2"/>
    <w:rsid w:val="004F4B66"/>
    <w:rsid w:val="0050365E"/>
    <w:rsid w:val="005111D3"/>
    <w:rsid w:val="0051517A"/>
    <w:rsid w:val="00515BB2"/>
    <w:rsid w:val="00516BDB"/>
    <w:rsid w:val="005643A4"/>
    <w:rsid w:val="00570E93"/>
    <w:rsid w:val="00573025"/>
    <w:rsid w:val="0058066E"/>
    <w:rsid w:val="00587A09"/>
    <w:rsid w:val="00592DB6"/>
    <w:rsid w:val="005A15AD"/>
    <w:rsid w:val="005B439D"/>
    <w:rsid w:val="005B69BA"/>
    <w:rsid w:val="005B7657"/>
    <w:rsid w:val="005B7725"/>
    <w:rsid w:val="005C47BF"/>
    <w:rsid w:val="005D011C"/>
    <w:rsid w:val="005E6051"/>
    <w:rsid w:val="005E7599"/>
    <w:rsid w:val="005E7676"/>
    <w:rsid w:val="005F0A2E"/>
    <w:rsid w:val="0060199D"/>
    <w:rsid w:val="00614F75"/>
    <w:rsid w:val="006207AB"/>
    <w:rsid w:val="006301AC"/>
    <w:rsid w:val="006600F4"/>
    <w:rsid w:val="00666D7A"/>
    <w:rsid w:val="0066746D"/>
    <w:rsid w:val="00673D84"/>
    <w:rsid w:val="006A7333"/>
    <w:rsid w:val="006B4A7D"/>
    <w:rsid w:val="006C6AB1"/>
    <w:rsid w:val="006D0A41"/>
    <w:rsid w:val="006F29EC"/>
    <w:rsid w:val="007160B0"/>
    <w:rsid w:val="0072083A"/>
    <w:rsid w:val="00730431"/>
    <w:rsid w:val="00732553"/>
    <w:rsid w:val="00733A05"/>
    <w:rsid w:val="007355EE"/>
    <w:rsid w:val="0074799C"/>
    <w:rsid w:val="00752718"/>
    <w:rsid w:val="0077623C"/>
    <w:rsid w:val="0077624F"/>
    <w:rsid w:val="00786DF9"/>
    <w:rsid w:val="00792968"/>
    <w:rsid w:val="007A0D2F"/>
    <w:rsid w:val="007B7A0E"/>
    <w:rsid w:val="007B7BE2"/>
    <w:rsid w:val="007C06D6"/>
    <w:rsid w:val="007C081F"/>
    <w:rsid w:val="00810D32"/>
    <w:rsid w:val="008414F3"/>
    <w:rsid w:val="008431E7"/>
    <w:rsid w:val="00875D7B"/>
    <w:rsid w:val="008809EE"/>
    <w:rsid w:val="00895187"/>
    <w:rsid w:val="00897382"/>
    <w:rsid w:val="008B1663"/>
    <w:rsid w:val="008C1AC0"/>
    <w:rsid w:val="008C1B4B"/>
    <w:rsid w:val="008C3FA6"/>
    <w:rsid w:val="008D7761"/>
    <w:rsid w:val="008E3D98"/>
    <w:rsid w:val="008E5817"/>
    <w:rsid w:val="008E75B7"/>
    <w:rsid w:val="008F6AC3"/>
    <w:rsid w:val="009001D6"/>
    <w:rsid w:val="00912F5F"/>
    <w:rsid w:val="0091619D"/>
    <w:rsid w:val="0091724F"/>
    <w:rsid w:val="0092239A"/>
    <w:rsid w:val="00924F8A"/>
    <w:rsid w:val="009322A9"/>
    <w:rsid w:val="0095166D"/>
    <w:rsid w:val="009548D1"/>
    <w:rsid w:val="0097106F"/>
    <w:rsid w:val="00971C86"/>
    <w:rsid w:val="009742DF"/>
    <w:rsid w:val="0097552C"/>
    <w:rsid w:val="00993D1F"/>
    <w:rsid w:val="009A2BC5"/>
    <w:rsid w:val="009A3801"/>
    <w:rsid w:val="009B6B6C"/>
    <w:rsid w:val="009D0CC5"/>
    <w:rsid w:val="009E110E"/>
    <w:rsid w:val="009E2177"/>
    <w:rsid w:val="009F31CD"/>
    <w:rsid w:val="009F5428"/>
    <w:rsid w:val="009F62B4"/>
    <w:rsid w:val="00A22BB8"/>
    <w:rsid w:val="00A23DF3"/>
    <w:rsid w:val="00A23F42"/>
    <w:rsid w:val="00A2425F"/>
    <w:rsid w:val="00A25447"/>
    <w:rsid w:val="00A301A1"/>
    <w:rsid w:val="00A35797"/>
    <w:rsid w:val="00A40A81"/>
    <w:rsid w:val="00A45DCA"/>
    <w:rsid w:val="00A55C9F"/>
    <w:rsid w:val="00A573B3"/>
    <w:rsid w:val="00A57492"/>
    <w:rsid w:val="00A73BBF"/>
    <w:rsid w:val="00A77A0C"/>
    <w:rsid w:val="00A85F68"/>
    <w:rsid w:val="00A877DC"/>
    <w:rsid w:val="00A9368C"/>
    <w:rsid w:val="00A969C5"/>
    <w:rsid w:val="00AE4D49"/>
    <w:rsid w:val="00B00380"/>
    <w:rsid w:val="00B0219F"/>
    <w:rsid w:val="00B06F6F"/>
    <w:rsid w:val="00B15A4B"/>
    <w:rsid w:val="00B21F5D"/>
    <w:rsid w:val="00B2689F"/>
    <w:rsid w:val="00B2755E"/>
    <w:rsid w:val="00B54A1C"/>
    <w:rsid w:val="00B7013D"/>
    <w:rsid w:val="00B731CC"/>
    <w:rsid w:val="00B8030F"/>
    <w:rsid w:val="00B84375"/>
    <w:rsid w:val="00B90922"/>
    <w:rsid w:val="00B93B11"/>
    <w:rsid w:val="00BA35DD"/>
    <w:rsid w:val="00BA53F5"/>
    <w:rsid w:val="00BB294E"/>
    <w:rsid w:val="00BB2C0C"/>
    <w:rsid w:val="00BC0453"/>
    <w:rsid w:val="00BE1F00"/>
    <w:rsid w:val="00BE27C9"/>
    <w:rsid w:val="00BE2C85"/>
    <w:rsid w:val="00C26690"/>
    <w:rsid w:val="00C32564"/>
    <w:rsid w:val="00C33A67"/>
    <w:rsid w:val="00C369EA"/>
    <w:rsid w:val="00C4134E"/>
    <w:rsid w:val="00C4412E"/>
    <w:rsid w:val="00C45D39"/>
    <w:rsid w:val="00C54F78"/>
    <w:rsid w:val="00C772EB"/>
    <w:rsid w:val="00C8292D"/>
    <w:rsid w:val="00C90442"/>
    <w:rsid w:val="00C945CD"/>
    <w:rsid w:val="00C95681"/>
    <w:rsid w:val="00C97AF7"/>
    <w:rsid w:val="00C97B40"/>
    <w:rsid w:val="00CA01F5"/>
    <w:rsid w:val="00CB6135"/>
    <w:rsid w:val="00CC1A7F"/>
    <w:rsid w:val="00CC2997"/>
    <w:rsid w:val="00CC3ABD"/>
    <w:rsid w:val="00CD2E65"/>
    <w:rsid w:val="00CE2671"/>
    <w:rsid w:val="00CF1F07"/>
    <w:rsid w:val="00CF7101"/>
    <w:rsid w:val="00D00199"/>
    <w:rsid w:val="00D001A7"/>
    <w:rsid w:val="00D0031E"/>
    <w:rsid w:val="00D07450"/>
    <w:rsid w:val="00D27268"/>
    <w:rsid w:val="00D40B1B"/>
    <w:rsid w:val="00D41DF4"/>
    <w:rsid w:val="00D60F26"/>
    <w:rsid w:val="00D6517F"/>
    <w:rsid w:val="00D6759F"/>
    <w:rsid w:val="00D67D60"/>
    <w:rsid w:val="00D74FF3"/>
    <w:rsid w:val="00D7621D"/>
    <w:rsid w:val="00D81E78"/>
    <w:rsid w:val="00D86260"/>
    <w:rsid w:val="00D90566"/>
    <w:rsid w:val="00D939CA"/>
    <w:rsid w:val="00DA4753"/>
    <w:rsid w:val="00DB0E97"/>
    <w:rsid w:val="00DB3933"/>
    <w:rsid w:val="00DB6517"/>
    <w:rsid w:val="00DC0EF4"/>
    <w:rsid w:val="00DC5964"/>
    <w:rsid w:val="00DC6E21"/>
    <w:rsid w:val="00DF667A"/>
    <w:rsid w:val="00E21D26"/>
    <w:rsid w:val="00E4187B"/>
    <w:rsid w:val="00E41A09"/>
    <w:rsid w:val="00E4249C"/>
    <w:rsid w:val="00E5276A"/>
    <w:rsid w:val="00E605EF"/>
    <w:rsid w:val="00E65E12"/>
    <w:rsid w:val="00E72C0F"/>
    <w:rsid w:val="00E8647A"/>
    <w:rsid w:val="00E9621A"/>
    <w:rsid w:val="00EA715B"/>
    <w:rsid w:val="00EC2138"/>
    <w:rsid w:val="00EF3101"/>
    <w:rsid w:val="00F00B8B"/>
    <w:rsid w:val="00F20E2C"/>
    <w:rsid w:val="00F27CDE"/>
    <w:rsid w:val="00F55658"/>
    <w:rsid w:val="00F74932"/>
    <w:rsid w:val="00F75AA1"/>
    <w:rsid w:val="00F810C9"/>
    <w:rsid w:val="00F8150E"/>
    <w:rsid w:val="00F8570C"/>
    <w:rsid w:val="00F92A65"/>
    <w:rsid w:val="00FB53C2"/>
    <w:rsid w:val="00FB7497"/>
    <w:rsid w:val="00FC0CAD"/>
    <w:rsid w:val="00FC33C0"/>
    <w:rsid w:val="00FD1F5A"/>
    <w:rsid w:val="00FD44C9"/>
    <w:rsid w:val="00FD68F3"/>
    <w:rsid w:val="00FD7464"/>
    <w:rsid w:val="00FE29A4"/>
    <w:rsid w:val="00FE3034"/>
    <w:rsid w:val="00FE4C5C"/>
    <w:rsid w:val="00FE796C"/>
    <w:rsid w:val="00FF5443"/>
    <w:rsid w:val="1D0D3012"/>
    <w:rsid w:val="23E45905"/>
    <w:rsid w:val="37779E0C"/>
    <w:rsid w:val="5A39F690"/>
    <w:rsid w:val="6DA3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A4492B"/>
  <w15:chartTrackingRefBased/>
  <w15:docId w15:val="{935ECF9E-FFAF-430A-8832-8629F382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B12"/>
    <w:pPr>
      <w:ind w:left="720"/>
      <w:contextualSpacing/>
    </w:pPr>
  </w:style>
  <w:style w:type="table" w:styleId="TableGrid">
    <w:name w:val="Table Grid"/>
    <w:basedOn w:val="TableNormal"/>
    <w:uiPriority w:val="39"/>
    <w:rsid w:val="00CC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1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3C8"/>
  </w:style>
  <w:style w:type="paragraph" w:styleId="Footer">
    <w:name w:val="footer"/>
    <w:basedOn w:val="Normal"/>
    <w:link w:val="FooterChar"/>
    <w:uiPriority w:val="99"/>
    <w:unhideWhenUsed/>
    <w:rsid w:val="00341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3C8"/>
  </w:style>
  <w:style w:type="paragraph" w:customStyle="1" w:styleId="Body">
    <w:name w:val="Body"/>
    <w:basedOn w:val="Normal"/>
    <w:link w:val="BodyChar"/>
    <w:qFormat/>
    <w:rsid w:val="00C772EB"/>
    <w:pPr>
      <w:spacing w:line="269" w:lineRule="auto"/>
    </w:pPr>
    <w:rPr>
      <w:rFonts w:cstheme="minorHAnsi"/>
    </w:rPr>
  </w:style>
  <w:style w:type="character" w:customStyle="1" w:styleId="BodyChar">
    <w:name w:val="Body Char"/>
    <w:basedOn w:val="DefaultParagraphFont"/>
    <w:link w:val="Body"/>
    <w:rsid w:val="00C772EB"/>
    <w:rPr>
      <w:rFonts w:cstheme="minorHAnsi"/>
    </w:rPr>
  </w:style>
  <w:style w:type="table" w:styleId="GridTable1Light">
    <w:name w:val="Grid Table 1 Light"/>
    <w:basedOn w:val="TableNormal"/>
    <w:uiPriority w:val="46"/>
    <w:rsid w:val="00C772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C772EB"/>
    <w:pPr>
      <w:spacing w:after="200" w:line="240" w:lineRule="auto"/>
    </w:pPr>
    <w:rPr>
      <w:b/>
      <w:iCs/>
      <w:color w:val="3C3C3C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C772EB"/>
    <w:rPr>
      <w:b/>
      <w:iCs/>
      <w:color w:val="3C3C3C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78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78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78E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F7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1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1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1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1DE2CC971645A3DFA9C7654798E4" ma:contentTypeVersion="13" ma:contentTypeDescription="Create a new document." ma:contentTypeScope="" ma:versionID="e6f478621916811ae04d233dba583e70">
  <xsd:schema xmlns:xsd="http://www.w3.org/2001/XMLSchema" xmlns:xs="http://www.w3.org/2001/XMLSchema" xmlns:p="http://schemas.microsoft.com/office/2006/metadata/properties" xmlns:ns3="910050cf-92b7-4da3-84fe-62b27a305269" xmlns:ns4="46dcc9fc-7a5e-478a-8739-7f01a856ee1a" targetNamespace="http://schemas.microsoft.com/office/2006/metadata/properties" ma:root="true" ma:fieldsID="f27dd86ac7caac8c0523a33816cb50a2" ns3:_="" ns4:_="">
    <xsd:import namespace="910050cf-92b7-4da3-84fe-62b27a305269"/>
    <xsd:import namespace="46dcc9fc-7a5e-478a-8739-7f01a856ee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050cf-92b7-4da3-84fe-62b27a305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cc9fc-7a5e-478a-8739-7f01a856e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E1FF0-530D-4BDF-B680-026049FC6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1F9C2-176C-451D-91B4-8C634F2D32BF}">
  <ds:schemaRefs>
    <ds:schemaRef ds:uri="http://purl.org/dc/terms/"/>
    <ds:schemaRef ds:uri="http://schemas.microsoft.com/office/2006/documentManagement/types"/>
    <ds:schemaRef ds:uri="910050cf-92b7-4da3-84fe-62b27a30526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6dcc9fc-7a5e-478a-8739-7f01a856ee1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4C7D8C-2A5F-41C6-8377-548B87F31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050cf-92b7-4da3-84fe-62b27a305269"/>
    <ds:schemaRef ds:uri="46dcc9fc-7a5e-478a-8739-7f01a856e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76A5B7-30FA-429C-ACA5-6575C3FC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Tincknell, Sarah</dc:creator>
  <cp:keywords/>
  <dc:description/>
  <cp:lastModifiedBy>Te Tauri-Jackson, Breeanna</cp:lastModifiedBy>
  <cp:revision>2</cp:revision>
  <dcterms:created xsi:type="dcterms:W3CDTF">2020-08-21T03:16:00Z</dcterms:created>
  <dcterms:modified xsi:type="dcterms:W3CDTF">2020-08-21T03:16:00Z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c7b3fc-4128-41ae-86b4-e4b1b1ae5e15_Enabled">
    <vt:lpwstr>true</vt:lpwstr>
  </property>
  <property fmtid="{D5CDD505-2E9C-101B-9397-08002B2CF9AE}" pid="3" name="MSIP_Label_97c7b3fc-4128-41ae-86b4-e4b1b1ae5e15_SetDate">
    <vt:lpwstr>2020-08-04T05:34:32Z</vt:lpwstr>
  </property>
  <property fmtid="{D5CDD505-2E9C-101B-9397-08002B2CF9AE}" pid="4" name="MSIP_Label_97c7b3fc-4128-41ae-86b4-e4b1b1ae5e15_Method">
    <vt:lpwstr>Standard</vt:lpwstr>
  </property>
  <property fmtid="{D5CDD505-2E9C-101B-9397-08002B2CF9AE}" pid="5" name="MSIP_Label_97c7b3fc-4128-41ae-86b4-e4b1b1ae5e15_Name">
    <vt:lpwstr>97c7b3fc-4128-41ae-86b4-e4b1b1ae5e15</vt:lpwstr>
  </property>
  <property fmtid="{D5CDD505-2E9C-101B-9397-08002B2CF9AE}" pid="6" name="MSIP_Label_97c7b3fc-4128-41ae-86b4-e4b1b1ae5e15_SiteId">
    <vt:lpwstr>97160e56-eb00-44fe-b31d-0d6d351c636d</vt:lpwstr>
  </property>
  <property fmtid="{D5CDD505-2E9C-101B-9397-08002B2CF9AE}" pid="7" name="MSIP_Label_97c7b3fc-4128-41ae-86b4-e4b1b1ae5e15_ActionId">
    <vt:lpwstr>a71042e3-1047-4e07-860b-aa7b71e86d74</vt:lpwstr>
  </property>
  <property fmtid="{D5CDD505-2E9C-101B-9397-08002B2CF9AE}" pid="8" name="MSIP_Label_97c7b3fc-4128-41ae-86b4-e4b1b1ae5e15_ContentBits">
    <vt:lpwstr>0</vt:lpwstr>
  </property>
  <property fmtid="{D5CDD505-2E9C-101B-9397-08002B2CF9AE}" pid="9" name="ContentTypeId">
    <vt:lpwstr>0x01010087351DE2CC971645A3DFA9C7654798E4</vt:lpwstr>
  </property>
</Properties>
</file>