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3B41" w14:textId="13DD3C59" w:rsidR="00834167" w:rsidRPr="00BF5140" w:rsidRDefault="00834167" w:rsidP="00D9340A">
      <w:pPr>
        <w:pStyle w:val="Heading1"/>
        <w:spacing w:after="120" w:line="340" w:lineRule="exact"/>
        <w:rPr>
          <w:rFonts w:asciiTheme="minorHAnsi" w:hAnsiTheme="minorHAnsi" w:cstheme="minorHAnsi"/>
          <w:b/>
          <w:bCs/>
          <w:sz w:val="24"/>
          <w:szCs w:val="24"/>
        </w:rPr>
      </w:pPr>
      <w:bookmarkStart w:id="0" w:name="_GoBack"/>
      <w:r w:rsidRPr="00BF5140">
        <w:rPr>
          <w:rFonts w:asciiTheme="minorHAnsi" w:hAnsiTheme="minorHAnsi" w:cstheme="minorHAnsi"/>
          <w:b/>
          <w:bCs/>
          <w:sz w:val="24"/>
          <w:szCs w:val="24"/>
        </w:rPr>
        <w:t>Sector coupling: the hydrogen economy and implications for gas and electricity markets</w:t>
      </w:r>
    </w:p>
    <w:p w14:paraId="57E34BC2" w14:textId="0706B71C" w:rsidR="00147A2A" w:rsidRPr="00BF5140" w:rsidRDefault="00147A2A" w:rsidP="00D9340A">
      <w:pPr>
        <w:pStyle w:val="Heading2"/>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What is sector coupling and why is it relevant?</w:t>
      </w:r>
    </w:p>
    <w:p w14:paraId="1B8DCE40" w14:textId="277E562A" w:rsidR="00D9340A" w:rsidRPr="00BF5140" w:rsidRDefault="00D8079A" w:rsidP="00D9340A">
      <w:pPr>
        <w:spacing w:after="120" w:line="340" w:lineRule="exact"/>
        <w:rPr>
          <w:rFonts w:cstheme="minorHAnsi"/>
        </w:rPr>
      </w:pPr>
      <w:r w:rsidRPr="00BF5140">
        <w:rPr>
          <w:rFonts w:cstheme="minorHAnsi"/>
        </w:rPr>
        <w:t>Sector coupli</w:t>
      </w:r>
      <w:r w:rsidR="00311A73" w:rsidRPr="00BF5140">
        <w:rPr>
          <w:rFonts w:cstheme="minorHAnsi"/>
        </w:rPr>
        <w:t>n</w:t>
      </w:r>
      <w:r w:rsidRPr="00BF5140">
        <w:rPr>
          <w:rFonts w:cstheme="minorHAnsi"/>
        </w:rPr>
        <w:t xml:space="preserve">g is the process of </w:t>
      </w:r>
      <w:r w:rsidR="007E4A13">
        <w:rPr>
          <w:rFonts w:cstheme="minorHAnsi"/>
        </w:rPr>
        <w:t>linking</w:t>
      </w:r>
      <w:r w:rsidRPr="00BF5140">
        <w:rPr>
          <w:rFonts w:cstheme="minorHAnsi"/>
        </w:rPr>
        <w:t xml:space="preserve"> different sectors of the economy, especially </w:t>
      </w:r>
      <w:r w:rsidR="00B7257D" w:rsidRPr="00BF5140">
        <w:rPr>
          <w:rFonts w:cstheme="minorHAnsi"/>
        </w:rPr>
        <w:t xml:space="preserve">different energy </w:t>
      </w:r>
      <w:r w:rsidR="007E4A13">
        <w:rPr>
          <w:rFonts w:cstheme="minorHAnsi"/>
        </w:rPr>
        <w:t>s</w:t>
      </w:r>
      <w:r w:rsidR="00B7257D" w:rsidRPr="00BF5140">
        <w:rPr>
          <w:rFonts w:cstheme="minorHAnsi"/>
        </w:rPr>
        <w:t>ectors</w:t>
      </w:r>
      <w:r w:rsidR="007E4A13">
        <w:rPr>
          <w:rFonts w:cstheme="minorHAnsi"/>
        </w:rPr>
        <w:t>, for the purpose of fostering synergies between their respective networks and markets</w:t>
      </w:r>
      <w:r w:rsidR="00B7257D" w:rsidRPr="00BF5140">
        <w:rPr>
          <w:rFonts w:cstheme="minorHAnsi"/>
        </w:rPr>
        <w:t xml:space="preserve">. Recent technological development and interest in </w:t>
      </w:r>
      <w:r w:rsidR="009C7A34" w:rsidRPr="00BF5140">
        <w:rPr>
          <w:rFonts w:cstheme="minorHAnsi"/>
        </w:rPr>
        <w:t>the low carbon economy has highlighted the increasing links between sector</w:t>
      </w:r>
      <w:r w:rsidR="007E4A13">
        <w:rPr>
          <w:rFonts w:cstheme="minorHAnsi"/>
        </w:rPr>
        <w:t>s</w:t>
      </w:r>
      <w:r w:rsidR="009C7A34" w:rsidRPr="00BF5140">
        <w:rPr>
          <w:rFonts w:cstheme="minorHAnsi"/>
        </w:rPr>
        <w:t xml:space="preserve"> such as electricity, gas (natural gas and hydrogen) and </w:t>
      </w:r>
      <w:r w:rsidR="007E4A13">
        <w:rPr>
          <w:rFonts w:cstheme="minorHAnsi"/>
        </w:rPr>
        <w:t>opportunities for greater integration (manufacturing, transportation etc)</w:t>
      </w:r>
      <w:r w:rsidR="00311A73" w:rsidRPr="00BF5140">
        <w:rPr>
          <w:rFonts w:cstheme="minorHAnsi"/>
        </w:rPr>
        <w:t xml:space="preserve">. </w:t>
      </w:r>
      <w:r w:rsidR="007E4A13">
        <w:rPr>
          <w:rFonts w:cstheme="minorHAnsi"/>
        </w:rPr>
        <w:t xml:space="preserve">Hydrogen </w:t>
      </w:r>
      <w:r w:rsidR="007E4A13">
        <w:rPr>
          <w:rFonts w:cstheme="minorHAnsi"/>
        </w:rPr>
        <w:t>has the potential</w:t>
      </w:r>
      <w:r w:rsidR="007E4A13">
        <w:rPr>
          <w:rFonts w:cstheme="minorHAnsi"/>
        </w:rPr>
        <w:t xml:space="preserve"> to become a key technology in this context, bringing the opportunity to create Australian strategic value chains.</w:t>
      </w:r>
    </w:p>
    <w:p w14:paraId="48621D75" w14:textId="77777777" w:rsidR="00D9340A" w:rsidRPr="00BF5140" w:rsidRDefault="00311A73" w:rsidP="00D9340A">
      <w:pPr>
        <w:spacing w:after="120" w:line="340" w:lineRule="exact"/>
        <w:rPr>
          <w:rFonts w:cstheme="minorHAnsi"/>
        </w:rPr>
      </w:pPr>
      <w:r w:rsidRPr="00BF5140">
        <w:rPr>
          <w:rFonts w:cstheme="minorHAnsi"/>
        </w:rPr>
        <w:t>Many of the use cases of a hydrogen economy involve interaction with one or more of natural gas, electricity and transport.</w:t>
      </w:r>
      <w:r w:rsidR="001947D0" w:rsidRPr="00BF5140">
        <w:rPr>
          <w:rFonts w:cstheme="minorHAnsi"/>
        </w:rPr>
        <w:t xml:space="preserve"> </w:t>
      </w:r>
      <w:r w:rsidR="004A41BD" w:rsidRPr="00BF5140">
        <w:rPr>
          <w:rFonts w:cstheme="minorHAnsi"/>
        </w:rPr>
        <w:t>This is being borne out in various multi-sector trials around the world</w:t>
      </w:r>
      <w:r w:rsidR="002D0D82" w:rsidRPr="00BF5140">
        <w:rPr>
          <w:rFonts w:cstheme="minorHAnsi"/>
        </w:rPr>
        <w:t xml:space="preserve">, such as the </w:t>
      </w:r>
      <w:hyperlink r:id="rId8" w:history="1">
        <w:r w:rsidR="002D0D82" w:rsidRPr="00BF5140">
          <w:rPr>
            <w:rStyle w:val="Hyperlink"/>
            <w:rFonts w:cstheme="minorHAnsi"/>
          </w:rPr>
          <w:t>E</w:t>
        </w:r>
        <w:r w:rsidR="00125D0B" w:rsidRPr="00BF5140">
          <w:rPr>
            <w:rStyle w:val="Hyperlink"/>
            <w:rFonts w:cstheme="minorHAnsi"/>
          </w:rPr>
          <w:t>n</w:t>
        </w:r>
        <w:r w:rsidR="002D0D82" w:rsidRPr="00BF5140">
          <w:rPr>
            <w:rStyle w:val="Hyperlink"/>
            <w:rFonts w:cstheme="minorHAnsi"/>
          </w:rPr>
          <w:t>ergiePark</w:t>
        </w:r>
      </w:hyperlink>
      <w:r w:rsidR="002D0D82" w:rsidRPr="00BF5140">
        <w:rPr>
          <w:rFonts w:cstheme="minorHAnsi"/>
        </w:rPr>
        <w:t xml:space="preserve"> in Germany </w:t>
      </w:r>
      <w:r w:rsidR="00125D0B" w:rsidRPr="00BF5140">
        <w:rPr>
          <w:rFonts w:cstheme="minorHAnsi"/>
        </w:rPr>
        <w:t xml:space="preserve">or </w:t>
      </w:r>
      <w:hyperlink r:id="rId9" w:history="1">
        <w:r w:rsidR="00125D0B" w:rsidRPr="00BF5140">
          <w:rPr>
            <w:rStyle w:val="Hyperlink"/>
            <w:rFonts w:cstheme="minorHAnsi"/>
          </w:rPr>
          <w:t>Hystock</w:t>
        </w:r>
      </w:hyperlink>
      <w:r w:rsidR="00125D0B" w:rsidRPr="00BF5140">
        <w:rPr>
          <w:rFonts w:cstheme="minorHAnsi"/>
        </w:rPr>
        <w:t xml:space="preserve"> in the Netherlands</w:t>
      </w:r>
      <w:r w:rsidR="004A41BD" w:rsidRPr="00BF5140">
        <w:rPr>
          <w:rFonts w:cstheme="minorHAnsi"/>
        </w:rPr>
        <w:t xml:space="preserve">. </w:t>
      </w:r>
    </w:p>
    <w:p w14:paraId="042A8DC0" w14:textId="5B3FBA64" w:rsidR="00D8079A" w:rsidRDefault="001947D0" w:rsidP="00D9340A">
      <w:pPr>
        <w:spacing w:after="120" w:line="340" w:lineRule="exact"/>
        <w:rPr>
          <w:rFonts w:cstheme="minorHAnsi"/>
        </w:rPr>
      </w:pPr>
      <w:r w:rsidRPr="00BF5140">
        <w:rPr>
          <w:rFonts w:cstheme="minorHAnsi"/>
        </w:rPr>
        <w:t>As the hydrogen economy is in its formative phase</w:t>
      </w:r>
      <w:r w:rsidR="001B7E11" w:rsidRPr="00BF5140">
        <w:rPr>
          <w:rFonts w:cstheme="minorHAnsi"/>
        </w:rPr>
        <w:t xml:space="preserve"> compared to these other sectors, there is a n</w:t>
      </w:r>
      <w:r w:rsidR="004A41BD" w:rsidRPr="00BF5140">
        <w:rPr>
          <w:rFonts w:cstheme="minorHAnsi"/>
        </w:rPr>
        <w:t xml:space="preserve">atural benefit for hydrogen </w:t>
      </w:r>
      <w:r w:rsidR="001B2D54" w:rsidRPr="00BF5140">
        <w:rPr>
          <w:rFonts w:cstheme="minorHAnsi"/>
        </w:rPr>
        <w:t>project</w:t>
      </w:r>
      <w:r w:rsidR="004A41BD" w:rsidRPr="00BF5140">
        <w:rPr>
          <w:rFonts w:cstheme="minorHAnsi"/>
        </w:rPr>
        <w:t xml:space="preserve"> </w:t>
      </w:r>
      <w:r w:rsidR="00373E2A" w:rsidRPr="00BF5140">
        <w:rPr>
          <w:rFonts w:cstheme="minorHAnsi"/>
        </w:rPr>
        <w:t>proponents</w:t>
      </w:r>
      <w:r w:rsidR="004A41BD" w:rsidRPr="00BF5140">
        <w:rPr>
          <w:rFonts w:cstheme="minorHAnsi"/>
        </w:rPr>
        <w:t xml:space="preserve"> to consider </w:t>
      </w:r>
      <w:r w:rsidR="006725C2" w:rsidRPr="00BF5140">
        <w:rPr>
          <w:rFonts w:cstheme="minorHAnsi"/>
        </w:rPr>
        <w:t>h</w:t>
      </w:r>
      <w:r w:rsidR="004A41BD" w:rsidRPr="00BF5140">
        <w:rPr>
          <w:rFonts w:cstheme="minorHAnsi"/>
        </w:rPr>
        <w:t>ow</w:t>
      </w:r>
      <w:r w:rsidR="006725C2" w:rsidRPr="00BF5140">
        <w:rPr>
          <w:rFonts w:cstheme="minorHAnsi"/>
        </w:rPr>
        <w:t xml:space="preserve"> the sector can efficiently integrate with other sectors, not least to assist in the necessary scale-up of hydrogen production and demand</w:t>
      </w:r>
      <w:r w:rsidR="007E1788" w:rsidRPr="00BF5140">
        <w:rPr>
          <w:rFonts w:cstheme="minorHAnsi"/>
        </w:rPr>
        <w:t xml:space="preserve"> that will support ongoing cost reductions.</w:t>
      </w:r>
    </w:p>
    <w:p w14:paraId="0FBECF3C" w14:textId="53DAE09D" w:rsidR="007E4A13" w:rsidRDefault="007E4A13" w:rsidP="007E4A13">
      <w:pPr>
        <w:spacing w:after="120" w:line="340" w:lineRule="exact"/>
        <w:rPr>
          <w:rFonts w:cstheme="minorHAnsi"/>
        </w:rPr>
      </w:pPr>
      <w:r>
        <w:rPr>
          <w:rFonts w:cstheme="minorHAnsi"/>
        </w:rPr>
        <w:t>Hydrogen sector coupling increases economic efficiency</w:t>
      </w:r>
      <w:r>
        <w:rPr>
          <w:rFonts w:cstheme="minorHAnsi"/>
        </w:rPr>
        <w:t>. U</w:t>
      </w:r>
      <w:r>
        <w:rPr>
          <w:rFonts w:cstheme="minorHAnsi"/>
        </w:rPr>
        <w:t>sing the existing gas infrastructure allows the avoidance of important amount of investment in electricity networks, batteries and electricity end-uses, while diminishing the risk of stranded assets in the gas infrastructures.</w:t>
      </w:r>
    </w:p>
    <w:p w14:paraId="36DE786D" w14:textId="0EE7D6E8" w:rsidR="007E4A13" w:rsidRPr="00BF5140" w:rsidRDefault="007E4A13" w:rsidP="00D9340A">
      <w:pPr>
        <w:spacing w:after="120" w:line="340" w:lineRule="exact"/>
        <w:rPr>
          <w:rFonts w:cstheme="minorHAnsi"/>
        </w:rPr>
      </w:pPr>
      <w:r>
        <w:rPr>
          <w:rFonts w:cstheme="minorHAnsi"/>
        </w:rPr>
        <w:t xml:space="preserve">Hydrogen sector coupling increases security of supply. It provides flexibility to the energy </w:t>
      </w:r>
      <w:proofErr w:type="gramStart"/>
      <w:r>
        <w:rPr>
          <w:rFonts w:cstheme="minorHAnsi"/>
        </w:rPr>
        <w:t>system as a whole</w:t>
      </w:r>
      <w:proofErr w:type="gramEnd"/>
      <w:r>
        <w:rPr>
          <w:rFonts w:cstheme="minorHAnsi"/>
        </w:rPr>
        <w:t xml:space="preserve"> (along with demand-response, batteries…), covering energy demand peak and/or failure and is an effective solution to store intermittent renewable power (instead of curtailing it). </w:t>
      </w:r>
    </w:p>
    <w:p w14:paraId="655A6A35" w14:textId="68DE4E41" w:rsidR="006C0D7E" w:rsidRPr="00BF5140" w:rsidRDefault="006C0D7E" w:rsidP="00D9340A">
      <w:pPr>
        <w:pStyle w:val="Heading2"/>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Terms of reference</w:t>
      </w:r>
    </w:p>
    <w:p w14:paraId="2924E74C" w14:textId="5C8F1E41" w:rsidR="009F4DAD" w:rsidRPr="00BF5140" w:rsidRDefault="009F4DAD" w:rsidP="00D9340A">
      <w:pPr>
        <w:spacing w:after="120" w:line="340" w:lineRule="exact"/>
        <w:rPr>
          <w:rFonts w:cstheme="minorHAnsi"/>
        </w:rPr>
      </w:pPr>
      <w:r w:rsidRPr="00BF5140">
        <w:rPr>
          <w:rFonts w:cstheme="minorHAnsi"/>
        </w:rPr>
        <w:t xml:space="preserve">This paper is designed to provide background for participation in the Australian </w:t>
      </w:r>
      <w:r w:rsidR="00D9340A" w:rsidRPr="00BF5140">
        <w:rPr>
          <w:rFonts w:cstheme="minorHAnsi"/>
        </w:rPr>
        <w:t>H</w:t>
      </w:r>
      <w:r w:rsidRPr="00BF5140">
        <w:rPr>
          <w:rFonts w:cstheme="minorHAnsi"/>
        </w:rPr>
        <w:t xml:space="preserve">ydrogen Council (AHC) </w:t>
      </w:r>
      <w:r w:rsidR="00226521" w:rsidRPr="00BF5140">
        <w:rPr>
          <w:rFonts w:cstheme="minorHAnsi"/>
        </w:rPr>
        <w:t xml:space="preserve">energy regulatory market reform. It presents an </w:t>
      </w:r>
      <w:r w:rsidR="002921C9" w:rsidRPr="00BF5140">
        <w:rPr>
          <w:rFonts w:cstheme="minorHAnsi"/>
        </w:rPr>
        <w:t>overview of potential barriers</w:t>
      </w:r>
      <w:r w:rsidRPr="00BF5140">
        <w:rPr>
          <w:rFonts w:cstheme="minorHAnsi"/>
        </w:rPr>
        <w:t xml:space="preserve"> for hydrogen interfacing with electricity and gas markets due to market design / regulations; </w:t>
      </w:r>
      <w:r w:rsidR="00FB08A1" w:rsidRPr="00BF5140">
        <w:rPr>
          <w:rFonts w:cstheme="minorHAnsi"/>
        </w:rPr>
        <w:t>and considers:</w:t>
      </w:r>
    </w:p>
    <w:p w14:paraId="07CA1499" w14:textId="77777777" w:rsidR="009F4DAD" w:rsidRPr="00BF5140" w:rsidRDefault="009F4DAD" w:rsidP="00D9340A">
      <w:pPr>
        <w:spacing w:after="120" w:line="340" w:lineRule="exact"/>
        <w:rPr>
          <w:rFonts w:cstheme="minorHAnsi"/>
        </w:rPr>
      </w:pPr>
      <w:r w:rsidRPr="00BF5140">
        <w:rPr>
          <w:rFonts w:cstheme="minorHAnsi"/>
        </w:rPr>
        <w:t>•</w:t>
      </w:r>
      <w:r w:rsidRPr="00BF5140">
        <w:rPr>
          <w:rFonts w:cstheme="minorHAnsi"/>
        </w:rPr>
        <w:tab/>
        <w:t>What areas are worth investigating further / pushing for reform; and</w:t>
      </w:r>
    </w:p>
    <w:p w14:paraId="336CFF5C" w14:textId="2A9A46F2" w:rsidR="00CC541B" w:rsidRPr="00BF5140" w:rsidRDefault="009F4DAD" w:rsidP="00D9340A">
      <w:pPr>
        <w:spacing w:after="120" w:line="340" w:lineRule="exact"/>
        <w:rPr>
          <w:rFonts w:cstheme="minorHAnsi"/>
        </w:rPr>
      </w:pPr>
      <w:r w:rsidRPr="00BF5140">
        <w:rPr>
          <w:rFonts w:cstheme="minorHAnsi"/>
        </w:rPr>
        <w:t>•</w:t>
      </w:r>
      <w:r w:rsidRPr="00BF5140">
        <w:rPr>
          <w:rFonts w:cstheme="minorHAnsi"/>
        </w:rPr>
        <w:tab/>
        <w:t xml:space="preserve">Which matters should be the focus of the </w:t>
      </w:r>
      <w:r w:rsidR="004D457D">
        <w:rPr>
          <w:rFonts w:cstheme="minorHAnsi"/>
        </w:rPr>
        <w:t xml:space="preserve">industry bodies </w:t>
      </w:r>
      <w:r w:rsidRPr="00BF5140">
        <w:rPr>
          <w:rFonts w:cstheme="minorHAnsi"/>
        </w:rPr>
        <w:t>as opposed to other parties?</w:t>
      </w:r>
    </w:p>
    <w:p w14:paraId="10ED9C8E" w14:textId="222B5A66" w:rsidR="00ED6E40" w:rsidRPr="00BF5140" w:rsidRDefault="00ED6E40" w:rsidP="00D9340A">
      <w:pPr>
        <w:spacing w:after="120" w:line="340" w:lineRule="exact"/>
        <w:rPr>
          <w:rFonts w:cstheme="minorHAnsi"/>
        </w:rPr>
      </w:pPr>
      <w:r w:rsidRPr="00BF5140">
        <w:rPr>
          <w:rFonts w:cstheme="minorHAnsi"/>
        </w:rPr>
        <w:t xml:space="preserve">It also briefly considered the merits of </w:t>
      </w:r>
      <w:r w:rsidR="00DF0BDE" w:rsidRPr="00BF5140">
        <w:rPr>
          <w:rFonts w:cstheme="minorHAnsi"/>
        </w:rPr>
        <w:t xml:space="preserve">a </w:t>
      </w:r>
      <w:r w:rsidR="006C63AB" w:rsidRPr="00BF5140">
        <w:rPr>
          <w:rFonts w:cstheme="minorHAnsi"/>
        </w:rPr>
        <w:t xml:space="preserve">more integrated set of governance arrangements as one way to support </w:t>
      </w:r>
      <w:r w:rsidR="00EB6149" w:rsidRPr="00BF5140">
        <w:rPr>
          <w:rFonts w:cstheme="minorHAnsi"/>
        </w:rPr>
        <w:t>these interfaces</w:t>
      </w:r>
      <w:r w:rsidR="0052507C" w:rsidRPr="00BF5140">
        <w:rPr>
          <w:rFonts w:cstheme="minorHAnsi"/>
        </w:rPr>
        <w:t>.</w:t>
      </w:r>
    </w:p>
    <w:p w14:paraId="17D9E82F" w14:textId="77777777" w:rsidR="00834167" w:rsidRPr="00BF5140" w:rsidRDefault="00834167" w:rsidP="00D9340A">
      <w:pPr>
        <w:pStyle w:val="Heading2"/>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Governance overview</w:t>
      </w:r>
    </w:p>
    <w:p w14:paraId="1DAD1610" w14:textId="7BA07FD6" w:rsidR="00F95DC4" w:rsidRPr="00BF5140" w:rsidRDefault="00834167" w:rsidP="00D9340A">
      <w:pPr>
        <w:spacing w:after="120" w:line="340" w:lineRule="exact"/>
        <w:rPr>
          <w:rFonts w:cstheme="minorHAnsi"/>
        </w:rPr>
      </w:pPr>
      <w:r w:rsidRPr="00BF5140">
        <w:rPr>
          <w:rFonts w:cstheme="minorHAnsi"/>
        </w:rPr>
        <w:t xml:space="preserve">Existing gas and electricity governance </w:t>
      </w:r>
      <w:r w:rsidR="00796A5C" w:rsidRPr="00BF5140">
        <w:rPr>
          <w:rFonts w:cstheme="minorHAnsi"/>
        </w:rPr>
        <w:t>follow</w:t>
      </w:r>
      <w:r w:rsidRPr="00BF5140">
        <w:rPr>
          <w:rFonts w:cstheme="minorHAnsi"/>
        </w:rPr>
        <w:t xml:space="preserve"> similar patterns but are “parallel” rather than integrated. There are separate objectives, laws and rules for each. The only integrated gas and electricity legislation is in respect of the retail sector. This is focussed on the supply of gas and </w:t>
      </w:r>
      <w:r w:rsidRPr="00BF5140">
        <w:rPr>
          <w:rFonts w:cstheme="minorHAnsi"/>
        </w:rPr>
        <w:lastRenderedPageBreak/>
        <w:t xml:space="preserve">electricity to small customers, especially </w:t>
      </w:r>
      <w:r w:rsidR="001B2D54" w:rsidRPr="00BF5140">
        <w:rPr>
          <w:rFonts w:cstheme="minorHAnsi"/>
        </w:rPr>
        <w:t>households</w:t>
      </w:r>
      <w:r w:rsidRPr="00BF5140">
        <w:rPr>
          <w:rFonts w:cstheme="minorHAnsi"/>
        </w:rPr>
        <w:t xml:space="preserve"> and has </w:t>
      </w:r>
      <w:r w:rsidR="00D9340A" w:rsidRPr="00BF5140">
        <w:rPr>
          <w:rFonts w:cstheme="minorHAnsi"/>
        </w:rPr>
        <w:t>less</w:t>
      </w:r>
      <w:r w:rsidRPr="00BF5140">
        <w:rPr>
          <w:rFonts w:cstheme="minorHAnsi"/>
        </w:rPr>
        <w:t xml:space="preserve"> relevance for hydrogen at this stage. </w:t>
      </w:r>
    </w:p>
    <w:p w14:paraId="700E3A02" w14:textId="77777777" w:rsidR="00EF7AE7" w:rsidRPr="00BF5140" w:rsidRDefault="00834167" w:rsidP="00D9340A">
      <w:pPr>
        <w:spacing w:after="120" w:line="340" w:lineRule="exact"/>
        <w:rPr>
          <w:rFonts w:cstheme="minorHAnsi"/>
        </w:rPr>
      </w:pPr>
      <w:r w:rsidRPr="00BF5140">
        <w:rPr>
          <w:rFonts w:cstheme="minorHAnsi"/>
        </w:rPr>
        <w:t xml:space="preserve">Around a decade ago, when Australia appeared on the brink of establishing a carbon pricing mechanism, it was considered likely that gas would be a </w:t>
      </w:r>
      <w:r w:rsidR="001B2D54" w:rsidRPr="00BF5140">
        <w:rPr>
          <w:rFonts w:cstheme="minorHAnsi"/>
        </w:rPr>
        <w:t>critical</w:t>
      </w:r>
      <w:r w:rsidRPr="00BF5140">
        <w:rPr>
          <w:rFonts w:cstheme="minorHAnsi"/>
        </w:rPr>
        <w:t xml:space="preserve"> transitional fuel and that the deman</w:t>
      </w:r>
      <w:r w:rsidR="00EF7AE7" w:rsidRPr="00BF5140">
        <w:rPr>
          <w:rFonts w:cstheme="minorHAnsi"/>
        </w:rPr>
        <w:t>d</w:t>
      </w:r>
      <w:r w:rsidRPr="00BF5140">
        <w:rPr>
          <w:rFonts w:cstheme="minorHAnsi"/>
        </w:rPr>
        <w:t xml:space="preserve"> for gas from the electricity sector was likely to increase </w:t>
      </w:r>
      <w:r w:rsidR="001B2D54" w:rsidRPr="00BF5140">
        <w:rPr>
          <w:rFonts w:cstheme="minorHAnsi"/>
        </w:rPr>
        <w:t>significantly</w:t>
      </w:r>
      <w:r w:rsidRPr="00BF5140">
        <w:rPr>
          <w:rFonts w:cstheme="minorHAnsi"/>
        </w:rPr>
        <w:t xml:space="preserve"> as coal-fired plants were replaced by CCGTs. </w:t>
      </w:r>
    </w:p>
    <w:p w14:paraId="2D7B0B37" w14:textId="67A1B4A2" w:rsidR="00392E0E" w:rsidRPr="00BF5140" w:rsidRDefault="00834167" w:rsidP="00D9340A">
      <w:pPr>
        <w:spacing w:after="120" w:line="340" w:lineRule="exact"/>
        <w:rPr>
          <w:rFonts w:cstheme="minorHAnsi"/>
        </w:rPr>
      </w:pPr>
      <w:r w:rsidRPr="00BF5140">
        <w:rPr>
          <w:rFonts w:cstheme="minorHAnsi"/>
        </w:rPr>
        <w:t xml:space="preserve">Accordingly, some consideration was given to whether </w:t>
      </w:r>
      <w:r w:rsidR="009E0D07" w:rsidRPr="00BF5140">
        <w:rPr>
          <w:rFonts w:cstheme="minorHAnsi"/>
        </w:rPr>
        <w:t xml:space="preserve">there were elements of the </w:t>
      </w:r>
      <w:r w:rsidR="001B2D54" w:rsidRPr="00BF5140">
        <w:rPr>
          <w:rFonts w:cstheme="minorHAnsi"/>
        </w:rPr>
        <w:t>gas</w:t>
      </w:r>
      <w:r w:rsidR="009E0D07" w:rsidRPr="00BF5140">
        <w:rPr>
          <w:rFonts w:cstheme="minorHAnsi"/>
        </w:rPr>
        <w:t xml:space="preserve"> and electricity </w:t>
      </w:r>
      <w:r w:rsidR="00373E2A" w:rsidRPr="00BF5140">
        <w:rPr>
          <w:rFonts w:cstheme="minorHAnsi"/>
        </w:rPr>
        <w:t>markets</w:t>
      </w:r>
      <w:r w:rsidR="00CD12DC" w:rsidRPr="00BF5140">
        <w:rPr>
          <w:rFonts w:cstheme="minorHAnsi"/>
        </w:rPr>
        <w:t xml:space="preserve"> that required greater </w:t>
      </w:r>
      <w:r w:rsidR="00A576AC" w:rsidRPr="00BF5140">
        <w:rPr>
          <w:rFonts w:cstheme="minorHAnsi"/>
        </w:rPr>
        <w:t xml:space="preserve">alignment. Subsequent policy and commercial developments </w:t>
      </w:r>
      <w:r w:rsidR="002C0534" w:rsidRPr="00BF5140">
        <w:rPr>
          <w:rFonts w:cstheme="minorHAnsi"/>
        </w:rPr>
        <w:t xml:space="preserve">significantly reduced the likelihood of this outcome and in general neither regulators nor </w:t>
      </w:r>
      <w:r w:rsidR="004A651E" w:rsidRPr="00BF5140">
        <w:rPr>
          <w:rFonts w:cstheme="minorHAnsi"/>
        </w:rPr>
        <w:t>stakeholders were inclined to prioritise this specific goal amongst all the other reform priorities.</w:t>
      </w:r>
      <w:r w:rsidR="00650708" w:rsidRPr="00BF5140">
        <w:rPr>
          <w:rFonts w:cstheme="minorHAnsi"/>
        </w:rPr>
        <w:t xml:space="preserve"> </w:t>
      </w:r>
      <w:r w:rsidR="00065292" w:rsidRPr="00BF5140">
        <w:rPr>
          <w:rFonts w:cstheme="minorHAnsi"/>
        </w:rPr>
        <w:t>For example</w:t>
      </w:r>
      <w:r w:rsidR="004D457D">
        <w:rPr>
          <w:rFonts w:cstheme="minorHAnsi"/>
        </w:rPr>
        <w:t>,</w:t>
      </w:r>
      <w:r w:rsidR="00065292" w:rsidRPr="00BF5140">
        <w:rPr>
          <w:rFonts w:cstheme="minorHAnsi"/>
        </w:rPr>
        <w:t xml:space="preserve"> while the </w:t>
      </w:r>
      <w:r w:rsidR="00F85CD4" w:rsidRPr="00BF5140">
        <w:rPr>
          <w:rFonts w:cstheme="minorHAnsi"/>
        </w:rPr>
        <w:t xml:space="preserve">terms of reference of </w:t>
      </w:r>
      <w:r w:rsidR="00392E0E" w:rsidRPr="00BF5140">
        <w:rPr>
          <w:rFonts w:cstheme="minorHAnsi"/>
        </w:rPr>
        <w:t xml:space="preserve">the AEMC’s East Coast gas </w:t>
      </w:r>
      <w:r w:rsidR="0096187B" w:rsidRPr="00BF5140">
        <w:rPr>
          <w:rFonts w:cstheme="minorHAnsi"/>
        </w:rPr>
        <w:t>market scoping</w:t>
      </w:r>
      <w:r w:rsidR="00392E0E" w:rsidRPr="00BF5140">
        <w:rPr>
          <w:rFonts w:cstheme="minorHAnsi"/>
        </w:rPr>
        <w:t xml:space="preserve"> study</w:t>
      </w:r>
      <w:r w:rsidR="005C394B" w:rsidRPr="00BF5140">
        <w:rPr>
          <w:rFonts w:cstheme="minorHAnsi"/>
        </w:rPr>
        <w:t xml:space="preserve">, </w:t>
      </w:r>
      <w:r w:rsidR="002511F3" w:rsidRPr="00BF5140">
        <w:rPr>
          <w:rFonts w:cstheme="minorHAnsi"/>
        </w:rPr>
        <w:t>include</w:t>
      </w:r>
      <w:r w:rsidR="00F85CD4" w:rsidRPr="00BF5140">
        <w:rPr>
          <w:rFonts w:cstheme="minorHAnsi"/>
        </w:rPr>
        <w:t>d</w:t>
      </w:r>
      <w:r w:rsidR="002511F3" w:rsidRPr="00BF5140">
        <w:rPr>
          <w:rFonts w:cstheme="minorHAnsi"/>
        </w:rPr>
        <w:t xml:space="preserve"> </w:t>
      </w:r>
      <w:r w:rsidR="00EC14EB" w:rsidRPr="00BF5140">
        <w:rPr>
          <w:rFonts w:cstheme="minorHAnsi"/>
        </w:rPr>
        <w:t>an objective to better understand…the potential opportunities be</w:t>
      </w:r>
      <w:r w:rsidR="00B6243E" w:rsidRPr="00BF5140">
        <w:rPr>
          <w:rFonts w:cstheme="minorHAnsi"/>
        </w:rPr>
        <w:t>nefits and costs of further integration bet</w:t>
      </w:r>
      <w:r w:rsidR="00833FF7" w:rsidRPr="00BF5140">
        <w:rPr>
          <w:rFonts w:cstheme="minorHAnsi"/>
        </w:rPr>
        <w:t>we</w:t>
      </w:r>
      <w:r w:rsidR="00B6243E" w:rsidRPr="00BF5140">
        <w:rPr>
          <w:rFonts w:cstheme="minorHAnsi"/>
        </w:rPr>
        <w:t>en the electricity and gas markets</w:t>
      </w:r>
      <w:r w:rsidR="006B044B" w:rsidRPr="00BF5140">
        <w:rPr>
          <w:rStyle w:val="EndnoteReference"/>
          <w:rFonts w:cstheme="minorHAnsi"/>
        </w:rPr>
        <w:endnoteReference w:id="1"/>
      </w:r>
      <w:r w:rsidR="00766118" w:rsidRPr="00BF5140">
        <w:rPr>
          <w:rFonts w:cstheme="minorHAnsi"/>
        </w:rPr>
        <w:t>”</w:t>
      </w:r>
      <w:r w:rsidR="004D0781" w:rsidRPr="00BF5140">
        <w:rPr>
          <w:rFonts w:cstheme="minorHAnsi"/>
        </w:rPr>
        <w:t>, the final report for the study</w:t>
      </w:r>
      <w:r w:rsidR="00A65203" w:rsidRPr="00BF5140">
        <w:rPr>
          <w:rFonts w:cstheme="minorHAnsi"/>
        </w:rPr>
        <w:t xml:space="preserve"> noted that stakeholders ha</w:t>
      </w:r>
      <w:r w:rsidR="00071D50" w:rsidRPr="00BF5140">
        <w:rPr>
          <w:rFonts w:cstheme="minorHAnsi"/>
        </w:rPr>
        <w:t xml:space="preserve">d not given clear </w:t>
      </w:r>
      <w:r w:rsidR="005830E4" w:rsidRPr="00BF5140">
        <w:rPr>
          <w:rFonts w:cstheme="minorHAnsi"/>
        </w:rPr>
        <w:t xml:space="preserve">feedback that urgent action to address </w:t>
      </w:r>
      <w:r w:rsidR="00000BB9" w:rsidRPr="00BF5140">
        <w:rPr>
          <w:rFonts w:cstheme="minorHAnsi"/>
        </w:rPr>
        <w:t xml:space="preserve"> inconsist</w:t>
      </w:r>
      <w:r w:rsidR="00100618" w:rsidRPr="00BF5140">
        <w:rPr>
          <w:rFonts w:cstheme="minorHAnsi"/>
        </w:rPr>
        <w:t>encies</w:t>
      </w:r>
      <w:r w:rsidR="00833FF7" w:rsidRPr="00BF5140">
        <w:rPr>
          <w:rFonts w:cstheme="minorHAnsi"/>
        </w:rPr>
        <w:t xml:space="preserve"> between the two markets was required</w:t>
      </w:r>
      <w:r w:rsidR="00CE65FE" w:rsidRPr="00BF5140">
        <w:rPr>
          <w:rStyle w:val="EndnoteReference"/>
          <w:rFonts w:cstheme="minorHAnsi"/>
        </w:rPr>
        <w:endnoteReference w:id="2"/>
      </w:r>
      <w:r w:rsidR="00766118" w:rsidRPr="00BF5140">
        <w:rPr>
          <w:rFonts w:cstheme="minorHAnsi"/>
        </w:rPr>
        <w:t>.</w:t>
      </w:r>
    </w:p>
    <w:p w14:paraId="2CBDAA2C" w14:textId="6CD45ACE" w:rsidR="00456B4C" w:rsidRPr="00BF5140" w:rsidRDefault="00456B4C" w:rsidP="00D9340A">
      <w:pPr>
        <w:spacing w:after="120" w:line="340" w:lineRule="exact"/>
        <w:rPr>
          <w:rFonts w:cstheme="minorHAnsi"/>
        </w:rPr>
      </w:pPr>
      <w:r w:rsidRPr="00BF5140">
        <w:rPr>
          <w:rFonts w:cstheme="minorHAnsi"/>
        </w:rPr>
        <w:t xml:space="preserve">The lesson for hydrogen project proponents looking for specific alignment between </w:t>
      </w:r>
      <w:r w:rsidR="00D63B53" w:rsidRPr="00BF5140">
        <w:rPr>
          <w:rFonts w:cstheme="minorHAnsi"/>
        </w:rPr>
        <w:t>hydrogen</w:t>
      </w:r>
      <w:r w:rsidR="00882176" w:rsidRPr="00BF5140">
        <w:rPr>
          <w:rFonts w:cstheme="minorHAnsi"/>
        </w:rPr>
        <w:t xml:space="preserve"> </w:t>
      </w:r>
      <w:r w:rsidR="00D63B53" w:rsidRPr="00BF5140">
        <w:rPr>
          <w:rFonts w:cstheme="minorHAnsi"/>
        </w:rPr>
        <w:t xml:space="preserve">sector regulatory </w:t>
      </w:r>
      <w:r w:rsidR="001B2D54" w:rsidRPr="00BF5140">
        <w:rPr>
          <w:rFonts w:cstheme="minorHAnsi"/>
        </w:rPr>
        <w:t>settings</w:t>
      </w:r>
      <w:r w:rsidR="00D63B53" w:rsidRPr="00BF5140">
        <w:rPr>
          <w:rFonts w:cstheme="minorHAnsi"/>
        </w:rPr>
        <w:t xml:space="preserve"> and gas and electricity is tha</w:t>
      </w:r>
      <w:r w:rsidR="00706DA6" w:rsidRPr="00BF5140">
        <w:rPr>
          <w:rFonts w:cstheme="minorHAnsi"/>
        </w:rPr>
        <w:t xml:space="preserve">t ongoing consistent feedback to </w:t>
      </w:r>
      <w:r w:rsidR="001B2D54" w:rsidRPr="00BF5140">
        <w:rPr>
          <w:rFonts w:cstheme="minorHAnsi"/>
        </w:rPr>
        <w:t>policymakers</w:t>
      </w:r>
      <w:r w:rsidR="00706DA6" w:rsidRPr="00BF5140">
        <w:rPr>
          <w:rFonts w:cstheme="minorHAnsi"/>
        </w:rPr>
        <w:t xml:space="preserve"> of why this alignment is valuable and meets regulatory objectives is </w:t>
      </w:r>
      <w:r w:rsidR="001B2D54" w:rsidRPr="00BF5140">
        <w:rPr>
          <w:rFonts w:cstheme="minorHAnsi"/>
        </w:rPr>
        <w:t>likely</w:t>
      </w:r>
      <w:r w:rsidR="00706DA6" w:rsidRPr="00BF5140">
        <w:rPr>
          <w:rFonts w:cstheme="minorHAnsi"/>
        </w:rPr>
        <w:t xml:space="preserve"> required</w:t>
      </w:r>
      <w:r w:rsidR="00FB7CB3" w:rsidRPr="00BF5140">
        <w:rPr>
          <w:rFonts w:cstheme="minorHAnsi"/>
        </w:rPr>
        <w:t xml:space="preserve">. Embedding alignment into the governance through changes to national gas and </w:t>
      </w:r>
      <w:r w:rsidR="001B2D54" w:rsidRPr="00BF5140">
        <w:rPr>
          <w:rFonts w:cstheme="minorHAnsi"/>
        </w:rPr>
        <w:t>electricity</w:t>
      </w:r>
      <w:r w:rsidR="00FB7CB3" w:rsidRPr="00BF5140">
        <w:rPr>
          <w:rFonts w:cstheme="minorHAnsi"/>
        </w:rPr>
        <w:t xml:space="preserve"> objectives </w:t>
      </w:r>
      <w:r w:rsidR="000C6B7C" w:rsidRPr="00BF5140">
        <w:rPr>
          <w:rFonts w:cstheme="minorHAnsi"/>
        </w:rPr>
        <w:t xml:space="preserve">(including merging them and adding hydrogen as a third sector) would assist with this goal but </w:t>
      </w:r>
      <w:r w:rsidR="00FD341E" w:rsidRPr="00BF5140">
        <w:rPr>
          <w:rFonts w:cstheme="minorHAnsi"/>
        </w:rPr>
        <w:t xml:space="preserve">is </w:t>
      </w:r>
      <w:r w:rsidR="001B2D54" w:rsidRPr="00BF5140">
        <w:rPr>
          <w:rFonts w:cstheme="minorHAnsi"/>
        </w:rPr>
        <w:t>likely</w:t>
      </w:r>
      <w:r w:rsidR="00FD341E" w:rsidRPr="00BF5140">
        <w:rPr>
          <w:rFonts w:cstheme="minorHAnsi"/>
        </w:rPr>
        <w:t xml:space="preserve"> to require sustained and substantial </w:t>
      </w:r>
      <w:r w:rsidR="001B2D54" w:rsidRPr="00BF5140">
        <w:rPr>
          <w:rFonts w:cstheme="minorHAnsi"/>
        </w:rPr>
        <w:t>advocacy</w:t>
      </w:r>
      <w:r w:rsidR="00FD341E" w:rsidRPr="00BF5140">
        <w:rPr>
          <w:rFonts w:cstheme="minorHAnsi"/>
        </w:rPr>
        <w:t>.</w:t>
      </w:r>
    </w:p>
    <w:p w14:paraId="29AC893F" w14:textId="018A67B6" w:rsidR="00EF7AE7" w:rsidRPr="00BF5140" w:rsidRDefault="00CB4A1D" w:rsidP="00EF7AE7">
      <w:pPr>
        <w:pBdr>
          <w:top w:val="single" w:sz="4" w:space="1" w:color="auto"/>
          <w:left w:val="single" w:sz="4" w:space="4" w:color="auto"/>
          <w:bottom w:val="single" w:sz="4" w:space="1" w:color="auto"/>
          <w:right w:val="single" w:sz="4" w:space="4" w:color="auto"/>
        </w:pBdr>
        <w:spacing w:after="120" w:line="340" w:lineRule="exact"/>
        <w:rPr>
          <w:rFonts w:cstheme="minorHAnsi"/>
        </w:rPr>
      </w:pPr>
      <w:r w:rsidRPr="00BF5140">
        <w:rPr>
          <w:rFonts w:cstheme="minorHAnsi"/>
          <w:b/>
          <w:bCs/>
        </w:rPr>
        <w:t>Action</w:t>
      </w:r>
      <w:r w:rsidR="00EF7AE7" w:rsidRPr="00BF5140">
        <w:rPr>
          <w:rFonts w:cstheme="minorHAnsi"/>
          <w:b/>
          <w:bCs/>
        </w:rPr>
        <w:t>:</w:t>
      </w:r>
      <w:r w:rsidR="00EF7AE7" w:rsidRPr="00BF5140">
        <w:rPr>
          <w:rFonts w:cstheme="minorHAnsi"/>
        </w:rPr>
        <w:t xml:space="preserve">  Establishing the economic and societal case for sectoral alignment as a precursor for regulatory reform.</w:t>
      </w:r>
    </w:p>
    <w:p w14:paraId="2FA769F3" w14:textId="39211592" w:rsidR="009E0D07" w:rsidRPr="00BF5140" w:rsidRDefault="00475FFC" w:rsidP="00D9340A">
      <w:pPr>
        <w:pStyle w:val="Heading2"/>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F</w:t>
      </w:r>
      <w:r w:rsidR="00ED6BD9" w:rsidRPr="00BF5140">
        <w:rPr>
          <w:rFonts w:asciiTheme="minorHAnsi" w:hAnsiTheme="minorHAnsi" w:cstheme="minorHAnsi"/>
          <w:sz w:val="22"/>
          <w:szCs w:val="22"/>
          <w:u w:val="single"/>
        </w:rPr>
        <w:t>ramework for analysis</w:t>
      </w:r>
    </w:p>
    <w:p w14:paraId="7405D02F" w14:textId="0A216EB7" w:rsidR="00B26EF5" w:rsidRPr="00BF5140" w:rsidRDefault="00687424" w:rsidP="00D9340A">
      <w:pPr>
        <w:spacing w:after="120" w:line="340" w:lineRule="exact"/>
        <w:rPr>
          <w:rFonts w:cstheme="minorHAnsi"/>
        </w:rPr>
      </w:pPr>
      <w:r w:rsidRPr="00BF5140">
        <w:rPr>
          <w:rFonts w:cstheme="minorHAnsi"/>
        </w:rPr>
        <w:t>The framework for analysis</w:t>
      </w:r>
      <w:r w:rsidR="004D3495" w:rsidRPr="00BF5140">
        <w:rPr>
          <w:rFonts w:cstheme="minorHAnsi"/>
        </w:rPr>
        <w:t xml:space="preserve"> is to consider some plausible scenarios where hydrogen </w:t>
      </w:r>
      <w:r w:rsidR="001B2D54" w:rsidRPr="00BF5140">
        <w:rPr>
          <w:rFonts w:cstheme="minorHAnsi"/>
        </w:rPr>
        <w:t>projects</w:t>
      </w:r>
      <w:r w:rsidR="004D3495" w:rsidRPr="00BF5140">
        <w:rPr>
          <w:rFonts w:cstheme="minorHAnsi"/>
        </w:rPr>
        <w:t xml:space="preserve"> interact or potentially </w:t>
      </w:r>
      <w:r w:rsidR="00933285" w:rsidRPr="00BF5140">
        <w:rPr>
          <w:rFonts w:cstheme="minorHAnsi"/>
        </w:rPr>
        <w:t xml:space="preserve">interact with </w:t>
      </w:r>
      <w:r w:rsidR="00112A5C" w:rsidRPr="00BF5140">
        <w:rPr>
          <w:rFonts w:cstheme="minorHAnsi"/>
        </w:rPr>
        <w:t>the existing reticulated gas system or electricity grid</w:t>
      </w:r>
      <w:r w:rsidR="00A73547" w:rsidRPr="00BF5140">
        <w:rPr>
          <w:rFonts w:cstheme="minorHAnsi"/>
        </w:rPr>
        <w:t xml:space="preserve">. So standalone transport applications for hydrogen such as fuel cells </w:t>
      </w:r>
      <w:r w:rsidR="001B2D54" w:rsidRPr="00BF5140">
        <w:rPr>
          <w:rFonts w:cstheme="minorHAnsi"/>
        </w:rPr>
        <w:t>for</w:t>
      </w:r>
      <w:r w:rsidR="00A73547" w:rsidRPr="00BF5140">
        <w:rPr>
          <w:rFonts w:cstheme="minorHAnsi"/>
        </w:rPr>
        <w:t xml:space="preserve"> cars are not in themselves relevant.</w:t>
      </w:r>
      <w:r w:rsidR="00B26EF5" w:rsidRPr="00BF5140">
        <w:rPr>
          <w:rFonts w:cstheme="minorHAnsi"/>
        </w:rPr>
        <w:t xml:space="preserve"> For each scenario a range of potential barriers to commercial viability are considered.</w:t>
      </w:r>
      <w:r w:rsidR="00C53D52" w:rsidRPr="00BF5140">
        <w:rPr>
          <w:rFonts w:cstheme="minorHAnsi"/>
        </w:rPr>
        <w:t xml:space="preserve"> Below are the scenarios and the </w:t>
      </w:r>
      <w:r w:rsidR="001B2D54" w:rsidRPr="00BF5140">
        <w:rPr>
          <w:rFonts w:cstheme="minorHAnsi"/>
        </w:rPr>
        <w:t>types</w:t>
      </w:r>
      <w:r w:rsidR="009814EE" w:rsidRPr="00BF5140">
        <w:rPr>
          <w:rFonts w:cstheme="minorHAnsi"/>
        </w:rPr>
        <w:t xml:space="preserve"> of barriers under consideration.</w:t>
      </w:r>
    </w:p>
    <w:p w14:paraId="4EBF408B" w14:textId="0CE7E663" w:rsidR="009814EE" w:rsidRPr="00BF5140" w:rsidRDefault="009814EE" w:rsidP="00D9340A">
      <w:pPr>
        <w:pStyle w:val="Heading3"/>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Scenarios</w:t>
      </w:r>
    </w:p>
    <w:p w14:paraId="377E0CE0" w14:textId="0E8C275E" w:rsidR="0052507C" w:rsidRPr="00BF5140" w:rsidRDefault="0052507C" w:rsidP="00D9340A">
      <w:pPr>
        <w:spacing w:after="120" w:line="340" w:lineRule="exact"/>
        <w:rPr>
          <w:rFonts w:cstheme="minorHAnsi"/>
        </w:rPr>
      </w:pPr>
      <w:r w:rsidRPr="00BF5140">
        <w:rPr>
          <w:rFonts w:cstheme="minorHAnsi"/>
        </w:rPr>
        <w:t xml:space="preserve">Five scenarios are considered; two </w:t>
      </w:r>
      <w:proofErr w:type="gramStart"/>
      <w:r w:rsidRPr="00BF5140">
        <w:rPr>
          <w:rFonts w:cstheme="minorHAnsi"/>
        </w:rPr>
        <w:t>look</w:t>
      </w:r>
      <w:proofErr w:type="gramEnd"/>
      <w:r w:rsidRPr="00BF5140">
        <w:rPr>
          <w:rFonts w:cstheme="minorHAnsi"/>
        </w:rPr>
        <w:t xml:space="preserve"> at hydrogen linking with the natural gas network, one looks at the internal issues for a hydrogen hub, where existing gas pipeline rules may be relevant and the final two look at hydrogen linking with the electricity grid.</w:t>
      </w:r>
    </w:p>
    <w:p w14:paraId="1A1BF6A8" w14:textId="5395E71F" w:rsidR="009814EE" w:rsidRPr="00BF5140" w:rsidRDefault="009814EE" w:rsidP="00EF7AE7">
      <w:pPr>
        <w:pStyle w:val="ListParagraph"/>
        <w:numPr>
          <w:ilvl w:val="0"/>
          <w:numId w:val="6"/>
        </w:numPr>
        <w:spacing w:after="120" w:line="340" w:lineRule="exact"/>
        <w:rPr>
          <w:rFonts w:cstheme="minorHAnsi"/>
        </w:rPr>
      </w:pPr>
      <w:r w:rsidRPr="00BF5140">
        <w:rPr>
          <w:rFonts w:cstheme="minorHAnsi"/>
          <w:u w:val="single"/>
        </w:rPr>
        <w:t>Scenario A</w:t>
      </w:r>
      <w:r w:rsidRPr="00BF5140">
        <w:rPr>
          <w:rFonts w:cstheme="minorHAnsi"/>
        </w:rPr>
        <w:t>: hydrogen injection into the gas network</w:t>
      </w:r>
      <w:r w:rsidR="00585A5F">
        <w:rPr>
          <w:rFonts w:cstheme="minorHAnsi"/>
        </w:rPr>
        <w:t>,</w:t>
      </w:r>
      <w:r w:rsidRPr="00BF5140">
        <w:rPr>
          <w:rFonts w:cstheme="minorHAnsi"/>
        </w:rPr>
        <w:t xml:space="preserve"> </w:t>
      </w:r>
      <w:r w:rsidR="006E2E35" w:rsidRPr="00BF5140">
        <w:rPr>
          <w:rFonts w:cstheme="minorHAnsi"/>
        </w:rPr>
        <w:t>b</w:t>
      </w:r>
      <w:r w:rsidR="00BD2AC8" w:rsidRPr="00BF5140">
        <w:rPr>
          <w:rFonts w:cstheme="minorHAnsi"/>
        </w:rPr>
        <w:t>oth</w:t>
      </w:r>
      <w:r w:rsidRPr="00BF5140">
        <w:rPr>
          <w:rFonts w:cstheme="minorHAnsi"/>
        </w:rPr>
        <w:t xml:space="preserve"> blending </w:t>
      </w:r>
      <w:r w:rsidR="00BD2AC8" w:rsidRPr="00BF5140">
        <w:rPr>
          <w:rFonts w:cstheme="minorHAnsi"/>
        </w:rPr>
        <w:t xml:space="preserve">a </w:t>
      </w:r>
      <w:r w:rsidRPr="00BF5140">
        <w:rPr>
          <w:rFonts w:cstheme="minorHAnsi"/>
        </w:rPr>
        <w:t xml:space="preserve">small </w:t>
      </w:r>
      <w:r w:rsidR="00BD2AC8" w:rsidRPr="00BF5140">
        <w:rPr>
          <w:rFonts w:cstheme="minorHAnsi"/>
        </w:rPr>
        <w:t>proportion of hydrogen and</w:t>
      </w:r>
      <w:r w:rsidRPr="00BF5140">
        <w:rPr>
          <w:rFonts w:cstheme="minorHAnsi"/>
        </w:rPr>
        <w:t xml:space="preserve"> full conversion</w:t>
      </w:r>
    </w:p>
    <w:p w14:paraId="3DD23C8F" w14:textId="30256357" w:rsidR="009814EE" w:rsidRPr="00BF5140" w:rsidRDefault="009814EE" w:rsidP="00EF7AE7">
      <w:pPr>
        <w:pStyle w:val="ListParagraph"/>
        <w:numPr>
          <w:ilvl w:val="0"/>
          <w:numId w:val="6"/>
        </w:numPr>
        <w:spacing w:after="120" w:line="340" w:lineRule="exact"/>
        <w:rPr>
          <w:rFonts w:cstheme="minorHAnsi"/>
        </w:rPr>
      </w:pPr>
      <w:r w:rsidRPr="00BF5140">
        <w:rPr>
          <w:rFonts w:cstheme="minorHAnsi"/>
          <w:u w:val="single"/>
        </w:rPr>
        <w:t>Scenario B</w:t>
      </w:r>
      <w:r w:rsidRPr="00BF5140">
        <w:rPr>
          <w:rFonts w:cstheme="minorHAnsi"/>
        </w:rPr>
        <w:t xml:space="preserve">: Gas as a feedstock for hydrogen production via </w:t>
      </w:r>
      <w:r w:rsidR="00BD2AC8" w:rsidRPr="00BF5140">
        <w:rPr>
          <w:rFonts w:cstheme="minorHAnsi"/>
        </w:rPr>
        <w:t>s</w:t>
      </w:r>
      <w:r w:rsidRPr="00BF5140">
        <w:rPr>
          <w:rFonts w:cstheme="minorHAnsi"/>
        </w:rPr>
        <w:t>team methane reforming</w:t>
      </w:r>
    </w:p>
    <w:p w14:paraId="456A1643" w14:textId="77777777" w:rsidR="009814EE" w:rsidRPr="00BF5140" w:rsidRDefault="009814EE" w:rsidP="00EF7AE7">
      <w:pPr>
        <w:pStyle w:val="ListParagraph"/>
        <w:numPr>
          <w:ilvl w:val="0"/>
          <w:numId w:val="6"/>
        </w:numPr>
        <w:spacing w:after="120" w:line="340" w:lineRule="exact"/>
        <w:rPr>
          <w:rFonts w:cstheme="minorHAnsi"/>
        </w:rPr>
      </w:pPr>
      <w:r w:rsidRPr="00BF5140">
        <w:rPr>
          <w:rFonts w:cstheme="minorHAnsi"/>
          <w:u w:val="single"/>
        </w:rPr>
        <w:lastRenderedPageBreak/>
        <w:t>Scenario C</w:t>
      </w:r>
      <w:r w:rsidRPr="00BF5140">
        <w:rPr>
          <w:rFonts w:cstheme="minorHAnsi"/>
        </w:rPr>
        <w:t>: Hydrogen hub – where hydrogen is physically transported and traded by different participants within one industrial precinct.</w:t>
      </w:r>
    </w:p>
    <w:p w14:paraId="11E4D9CA" w14:textId="77777777" w:rsidR="009814EE" w:rsidRPr="00BF5140" w:rsidRDefault="009814EE" w:rsidP="00EF7AE7">
      <w:pPr>
        <w:pStyle w:val="ListParagraph"/>
        <w:numPr>
          <w:ilvl w:val="0"/>
          <w:numId w:val="6"/>
        </w:numPr>
        <w:spacing w:after="120" w:line="340" w:lineRule="exact"/>
        <w:rPr>
          <w:rFonts w:cstheme="minorHAnsi"/>
        </w:rPr>
      </w:pPr>
      <w:r w:rsidRPr="00BF5140">
        <w:rPr>
          <w:rFonts w:cstheme="minorHAnsi"/>
          <w:u w:val="single"/>
        </w:rPr>
        <w:t>Scenario D</w:t>
      </w:r>
      <w:r w:rsidRPr="00BF5140">
        <w:rPr>
          <w:rFonts w:cstheme="minorHAnsi"/>
        </w:rPr>
        <w:t>: Electrolysis of surplus renewable energy</w:t>
      </w:r>
    </w:p>
    <w:p w14:paraId="1383DEDF" w14:textId="77777777" w:rsidR="009814EE" w:rsidRPr="00BF5140" w:rsidRDefault="009814EE" w:rsidP="00EF7AE7">
      <w:pPr>
        <w:pStyle w:val="ListParagraph"/>
        <w:numPr>
          <w:ilvl w:val="0"/>
          <w:numId w:val="6"/>
        </w:numPr>
        <w:spacing w:after="120" w:line="340" w:lineRule="exact"/>
        <w:rPr>
          <w:rFonts w:cstheme="minorHAnsi"/>
        </w:rPr>
      </w:pPr>
      <w:r w:rsidRPr="00BF5140">
        <w:rPr>
          <w:rFonts w:cstheme="minorHAnsi"/>
          <w:u w:val="single"/>
        </w:rPr>
        <w:t>Scenario E</w:t>
      </w:r>
      <w:r w:rsidRPr="00BF5140">
        <w:rPr>
          <w:rFonts w:cstheme="minorHAnsi"/>
        </w:rPr>
        <w:t>: Storage model – Electrolysis plus storage plus reconversion to electricity for grid export</w:t>
      </w:r>
    </w:p>
    <w:p w14:paraId="3C4C671A" w14:textId="0CFF0570" w:rsidR="00475FFC" w:rsidRPr="00BF5140" w:rsidRDefault="00475FFC" w:rsidP="00D9340A">
      <w:pPr>
        <w:pStyle w:val="Heading3"/>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 xml:space="preserve">Barriers </w:t>
      </w:r>
    </w:p>
    <w:p w14:paraId="3E72B716" w14:textId="32182D6F" w:rsidR="00BF1CA1" w:rsidRPr="00BF5140" w:rsidRDefault="00056A91" w:rsidP="00D9340A">
      <w:pPr>
        <w:spacing w:after="120" w:line="340" w:lineRule="exact"/>
        <w:rPr>
          <w:rFonts w:cstheme="minorHAnsi"/>
        </w:rPr>
      </w:pPr>
      <w:r w:rsidRPr="00BF5140">
        <w:rPr>
          <w:rFonts w:cstheme="minorHAnsi"/>
        </w:rPr>
        <w:t xml:space="preserve">Barriers fall into two </w:t>
      </w:r>
      <w:r w:rsidR="00C7739E" w:rsidRPr="00BF5140">
        <w:rPr>
          <w:rFonts w:cstheme="minorHAnsi"/>
        </w:rPr>
        <w:t>main categories</w:t>
      </w:r>
      <w:r w:rsidR="00E01A2F" w:rsidRPr="00BF5140">
        <w:rPr>
          <w:rFonts w:cstheme="minorHAnsi"/>
        </w:rPr>
        <w:t xml:space="preserve">: absolute or “hard” </w:t>
      </w:r>
      <w:r w:rsidR="009E0D07" w:rsidRPr="00BF5140">
        <w:rPr>
          <w:rFonts w:cstheme="minorHAnsi"/>
        </w:rPr>
        <w:t>barriers</w:t>
      </w:r>
      <w:r w:rsidR="00E01A2F" w:rsidRPr="00BF5140">
        <w:rPr>
          <w:rFonts w:cstheme="minorHAnsi"/>
        </w:rPr>
        <w:t xml:space="preserve"> that preclude an activity, </w:t>
      </w:r>
      <w:r w:rsidR="00BF1CA1" w:rsidRPr="00BF5140">
        <w:rPr>
          <w:rFonts w:cstheme="minorHAnsi"/>
        </w:rPr>
        <w:t>and economic or “soft” barriers that inhibit an activity.</w:t>
      </w:r>
    </w:p>
    <w:p w14:paraId="44985E54" w14:textId="7D088714" w:rsidR="009E0D07" w:rsidRPr="00BF5140" w:rsidRDefault="00BF1CA1" w:rsidP="00D9340A">
      <w:pPr>
        <w:pStyle w:val="ListParagraph"/>
        <w:numPr>
          <w:ilvl w:val="0"/>
          <w:numId w:val="4"/>
        </w:numPr>
        <w:spacing w:after="120" w:line="340" w:lineRule="exact"/>
        <w:contextualSpacing w:val="0"/>
        <w:rPr>
          <w:rFonts w:cstheme="minorHAnsi"/>
        </w:rPr>
      </w:pPr>
      <w:r w:rsidRPr="007E4A13">
        <w:rPr>
          <w:rFonts w:cstheme="minorHAnsi"/>
          <w:b/>
          <w:bCs/>
        </w:rPr>
        <w:t xml:space="preserve">Hard </w:t>
      </w:r>
      <w:r w:rsidR="00A94D23" w:rsidRPr="007E4A13">
        <w:rPr>
          <w:rFonts w:cstheme="minorHAnsi"/>
          <w:b/>
          <w:bCs/>
        </w:rPr>
        <w:t>barriers</w:t>
      </w:r>
      <w:r w:rsidR="00A94D23" w:rsidRPr="00BF5140">
        <w:rPr>
          <w:rFonts w:cstheme="minorHAnsi"/>
        </w:rPr>
        <w:t xml:space="preserve"> are</w:t>
      </w:r>
      <w:r w:rsidR="00E0280A" w:rsidRPr="00BF5140">
        <w:rPr>
          <w:rFonts w:cstheme="minorHAnsi"/>
        </w:rPr>
        <w:t xml:space="preserve"> f</w:t>
      </w:r>
      <w:r w:rsidR="009E0D07" w:rsidRPr="00BF5140">
        <w:rPr>
          <w:rFonts w:cstheme="minorHAnsi"/>
        </w:rPr>
        <w:t xml:space="preserve">ormal legislative or rules-based barriers that preclude potentially economical </w:t>
      </w:r>
      <w:r w:rsidR="006E2E35" w:rsidRPr="00BF5140">
        <w:rPr>
          <w:rFonts w:cstheme="minorHAnsi"/>
        </w:rPr>
        <w:t>uses</w:t>
      </w:r>
      <w:r w:rsidR="009E0D07" w:rsidRPr="00BF5140">
        <w:rPr>
          <w:rFonts w:cstheme="minorHAnsi"/>
        </w:rPr>
        <w:t xml:space="preserve"> of hydrogen in conjunction with the gas and electricity systems</w:t>
      </w:r>
      <w:r w:rsidR="00ED6BD9" w:rsidRPr="00BF5140">
        <w:rPr>
          <w:rFonts w:cstheme="minorHAnsi"/>
        </w:rPr>
        <w:t>.</w:t>
      </w:r>
    </w:p>
    <w:p w14:paraId="24678832" w14:textId="73B539F7" w:rsidR="009E0D07" w:rsidRPr="00BF5140" w:rsidRDefault="00E0280A" w:rsidP="00D9340A">
      <w:pPr>
        <w:pStyle w:val="ListParagraph"/>
        <w:numPr>
          <w:ilvl w:val="0"/>
          <w:numId w:val="4"/>
        </w:numPr>
        <w:spacing w:after="120" w:line="340" w:lineRule="exact"/>
        <w:contextualSpacing w:val="0"/>
        <w:rPr>
          <w:rFonts w:cstheme="minorHAnsi"/>
        </w:rPr>
      </w:pPr>
      <w:r w:rsidRPr="007E4A13">
        <w:rPr>
          <w:rFonts w:cstheme="minorHAnsi"/>
          <w:b/>
          <w:bCs/>
        </w:rPr>
        <w:t>Soft barriers</w:t>
      </w:r>
      <w:r w:rsidRPr="00BF5140">
        <w:rPr>
          <w:rFonts w:cstheme="minorHAnsi"/>
        </w:rPr>
        <w:t xml:space="preserve"> cover a range of </w:t>
      </w:r>
      <w:r w:rsidR="006C7350" w:rsidRPr="00BF5140">
        <w:rPr>
          <w:rFonts w:cstheme="minorHAnsi"/>
        </w:rPr>
        <w:t>inhibiting factors that undermine the economic viability of an activity</w:t>
      </w:r>
      <w:r w:rsidR="007D62C9" w:rsidRPr="00BF5140">
        <w:rPr>
          <w:rFonts w:cstheme="minorHAnsi"/>
        </w:rPr>
        <w:t>. They can be divided into three broad types</w:t>
      </w:r>
      <w:r w:rsidR="00CB34F6" w:rsidRPr="00BF5140">
        <w:rPr>
          <w:rFonts w:cstheme="minorHAnsi"/>
        </w:rPr>
        <w:t>:</w:t>
      </w:r>
    </w:p>
    <w:p w14:paraId="4C2850D9" w14:textId="77777777" w:rsidR="00EF7AE7" w:rsidRPr="00BF5140" w:rsidRDefault="009E0D07" w:rsidP="00D9340A">
      <w:pPr>
        <w:pStyle w:val="ListParagraph"/>
        <w:numPr>
          <w:ilvl w:val="0"/>
          <w:numId w:val="1"/>
        </w:numPr>
        <w:spacing w:after="120" w:line="340" w:lineRule="exact"/>
        <w:ind w:left="360"/>
        <w:contextualSpacing w:val="0"/>
        <w:rPr>
          <w:rFonts w:cstheme="minorHAnsi"/>
        </w:rPr>
      </w:pPr>
      <w:r w:rsidRPr="00BF5140">
        <w:rPr>
          <w:rFonts w:cstheme="minorHAnsi"/>
        </w:rPr>
        <w:t xml:space="preserve">Lack of clarity as an inhibiting factor. </w:t>
      </w:r>
      <w:r w:rsidR="00CB4817" w:rsidRPr="00BF5140">
        <w:rPr>
          <w:rFonts w:cstheme="minorHAnsi"/>
        </w:rPr>
        <w:t>This is w</w:t>
      </w:r>
      <w:r w:rsidRPr="00BF5140">
        <w:rPr>
          <w:rFonts w:cstheme="minorHAnsi"/>
        </w:rPr>
        <w:t>here it is unclear how hydrogen or hydrogen assets would be treated</w:t>
      </w:r>
      <w:r w:rsidR="00CB4817" w:rsidRPr="00BF5140">
        <w:rPr>
          <w:rFonts w:cstheme="minorHAnsi"/>
        </w:rPr>
        <w:t xml:space="preserve"> under a regulato</w:t>
      </w:r>
      <w:r w:rsidR="00BD388E" w:rsidRPr="00BF5140">
        <w:rPr>
          <w:rFonts w:cstheme="minorHAnsi"/>
        </w:rPr>
        <w:t>r</w:t>
      </w:r>
      <w:r w:rsidR="00CB4817" w:rsidRPr="00BF5140">
        <w:rPr>
          <w:rFonts w:cstheme="minorHAnsi"/>
        </w:rPr>
        <w:t xml:space="preserve">y framework, </w:t>
      </w:r>
      <w:r w:rsidR="00BD388E" w:rsidRPr="00BF5140">
        <w:rPr>
          <w:rFonts w:cstheme="minorHAnsi"/>
        </w:rPr>
        <w:t xml:space="preserve">or </w:t>
      </w:r>
      <w:r w:rsidR="00CB4817" w:rsidRPr="00BF5140">
        <w:rPr>
          <w:rFonts w:cstheme="minorHAnsi"/>
        </w:rPr>
        <w:t>where there is a ris</w:t>
      </w:r>
      <w:r w:rsidR="00C14671" w:rsidRPr="00BF5140">
        <w:rPr>
          <w:rFonts w:cstheme="minorHAnsi"/>
        </w:rPr>
        <w:t>k</w:t>
      </w:r>
      <w:r w:rsidRPr="00BF5140">
        <w:rPr>
          <w:rFonts w:cstheme="minorHAnsi"/>
        </w:rPr>
        <w:t xml:space="preserve"> </w:t>
      </w:r>
      <w:r w:rsidR="00BD388E" w:rsidRPr="00BF5140">
        <w:rPr>
          <w:rFonts w:cstheme="minorHAnsi"/>
        </w:rPr>
        <w:t xml:space="preserve">of major future regulatory change. </w:t>
      </w:r>
      <w:r w:rsidR="004A502B" w:rsidRPr="00BF5140">
        <w:rPr>
          <w:rFonts w:cstheme="minorHAnsi"/>
        </w:rPr>
        <w:t xml:space="preserve">The economic impact of greater risk is that investors in hydrogen assets require a higher cost of capital.  </w:t>
      </w:r>
    </w:p>
    <w:p w14:paraId="76802051" w14:textId="77777777" w:rsidR="00EF7AE7" w:rsidRPr="00BF5140" w:rsidRDefault="00443108" w:rsidP="00EF7AE7">
      <w:pPr>
        <w:pStyle w:val="ListParagraph"/>
        <w:spacing w:after="120" w:line="340" w:lineRule="exact"/>
        <w:ind w:left="360"/>
        <w:contextualSpacing w:val="0"/>
        <w:rPr>
          <w:rFonts w:cstheme="minorHAnsi"/>
        </w:rPr>
      </w:pPr>
      <w:r w:rsidRPr="00BF5140">
        <w:rPr>
          <w:rFonts w:cstheme="minorHAnsi"/>
        </w:rPr>
        <w:t>Lack of clarity is n</w:t>
      </w:r>
      <w:r w:rsidR="009E0D07" w:rsidRPr="00BF5140">
        <w:rPr>
          <w:rFonts w:cstheme="minorHAnsi"/>
        </w:rPr>
        <w:t xml:space="preserve">ot always a negative – some proponents may prefer to move forward with the freedom that ambiguity or lack of regulatory guidance brings, on the basis that if they can establish a commercial case, they may be better placed to defend their approach in a future regulatory review. </w:t>
      </w:r>
      <w:r w:rsidR="004B0296" w:rsidRPr="00BF5140">
        <w:rPr>
          <w:rFonts w:cstheme="minorHAnsi"/>
        </w:rPr>
        <w:t xml:space="preserve"> </w:t>
      </w:r>
    </w:p>
    <w:p w14:paraId="32E0AB2D" w14:textId="41B276B0" w:rsidR="009E0D07" w:rsidRPr="00BF5140" w:rsidRDefault="004B0296" w:rsidP="00EF7AE7">
      <w:pPr>
        <w:pStyle w:val="ListParagraph"/>
        <w:spacing w:after="120" w:line="340" w:lineRule="exact"/>
        <w:ind w:left="360"/>
        <w:contextualSpacing w:val="0"/>
        <w:rPr>
          <w:rFonts w:cstheme="minorHAnsi"/>
        </w:rPr>
      </w:pPr>
      <w:r w:rsidRPr="00BF5140">
        <w:rPr>
          <w:rFonts w:cstheme="minorHAnsi"/>
        </w:rPr>
        <w:t xml:space="preserve">Consistency </w:t>
      </w:r>
      <w:r w:rsidR="00887B6D" w:rsidRPr="00BF5140">
        <w:rPr>
          <w:rFonts w:cstheme="minorHAnsi"/>
        </w:rPr>
        <w:t xml:space="preserve">of regulatory treatment is </w:t>
      </w:r>
      <w:r w:rsidRPr="00BF5140">
        <w:rPr>
          <w:rFonts w:cstheme="minorHAnsi"/>
        </w:rPr>
        <w:t xml:space="preserve">also </w:t>
      </w:r>
      <w:r w:rsidR="00887B6D" w:rsidRPr="00BF5140">
        <w:rPr>
          <w:rFonts w:cstheme="minorHAnsi"/>
        </w:rPr>
        <w:t>preferred</w:t>
      </w:r>
      <w:r w:rsidR="00503BFE" w:rsidRPr="00BF5140">
        <w:rPr>
          <w:rFonts w:cstheme="minorHAnsi"/>
        </w:rPr>
        <w:t xml:space="preserve"> by most investors</w:t>
      </w:r>
      <w:r w:rsidR="00887B6D" w:rsidRPr="00BF5140">
        <w:rPr>
          <w:rFonts w:cstheme="minorHAnsi"/>
        </w:rPr>
        <w:t xml:space="preserve">, although </w:t>
      </w:r>
      <w:r w:rsidR="00EF3CD6" w:rsidRPr="00BF5140">
        <w:rPr>
          <w:rFonts w:cstheme="minorHAnsi"/>
        </w:rPr>
        <w:t>having to manage multiple, v</w:t>
      </w:r>
      <w:r w:rsidR="00BE2066" w:rsidRPr="00BF5140">
        <w:rPr>
          <w:rFonts w:cstheme="minorHAnsi"/>
        </w:rPr>
        <w:t>a</w:t>
      </w:r>
      <w:r w:rsidR="00EF3CD6" w:rsidRPr="00BF5140">
        <w:rPr>
          <w:rFonts w:cstheme="minorHAnsi"/>
        </w:rPr>
        <w:t xml:space="preserve">rying regulatory frameworks </w:t>
      </w:r>
      <w:r w:rsidR="00503BFE" w:rsidRPr="00BF5140">
        <w:rPr>
          <w:rFonts w:cstheme="minorHAnsi"/>
        </w:rPr>
        <w:t>may also be framed as a cost burden, making it more of a Type B</w:t>
      </w:r>
      <w:r w:rsidR="00CB34F6" w:rsidRPr="00BF5140">
        <w:rPr>
          <w:rFonts w:cstheme="minorHAnsi"/>
        </w:rPr>
        <w:t xml:space="preserve"> barrier</w:t>
      </w:r>
    </w:p>
    <w:p w14:paraId="70139BFC" w14:textId="6078B13A" w:rsidR="009E0D07" w:rsidRPr="00BF5140" w:rsidRDefault="009E0D07" w:rsidP="00D9340A">
      <w:pPr>
        <w:pStyle w:val="ListParagraph"/>
        <w:numPr>
          <w:ilvl w:val="0"/>
          <w:numId w:val="1"/>
        </w:numPr>
        <w:spacing w:after="120" w:line="340" w:lineRule="exact"/>
        <w:ind w:left="360"/>
        <w:contextualSpacing w:val="0"/>
        <w:rPr>
          <w:rFonts w:cstheme="minorHAnsi"/>
        </w:rPr>
      </w:pPr>
      <w:r w:rsidRPr="00BF5140">
        <w:rPr>
          <w:rFonts w:cstheme="minorHAnsi"/>
        </w:rPr>
        <w:t>An inability to realise full commercial value</w:t>
      </w:r>
      <w:r w:rsidR="004637E6" w:rsidRPr="00BF5140">
        <w:rPr>
          <w:rFonts w:cstheme="minorHAnsi"/>
        </w:rPr>
        <w:t xml:space="preserve">. </w:t>
      </w:r>
      <w:r w:rsidR="00E73A55" w:rsidRPr="00BF5140">
        <w:rPr>
          <w:rFonts w:cstheme="minorHAnsi"/>
        </w:rPr>
        <w:t xml:space="preserve">This may be due to distortions in the gas or electricity sectors </w:t>
      </w:r>
      <w:r w:rsidR="00C44BB9" w:rsidRPr="00BF5140">
        <w:rPr>
          <w:rFonts w:cstheme="minorHAnsi"/>
        </w:rPr>
        <w:t>–</w:t>
      </w:r>
      <w:r w:rsidR="00E73A55" w:rsidRPr="00BF5140">
        <w:rPr>
          <w:rFonts w:cstheme="minorHAnsi"/>
        </w:rPr>
        <w:t xml:space="preserve"> </w:t>
      </w:r>
      <w:r w:rsidR="00C44BB9" w:rsidRPr="00BF5140">
        <w:rPr>
          <w:rFonts w:cstheme="minorHAnsi"/>
        </w:rPr>
        <w:t>in</w:t>
      </w:r>
      <w:r w:rsidR="00EE7A35" w:rsidRPr="00BF5140">
        <w:rPr>
          <w:rFonts w:cstheme="minorHAnsi"/>
        </w:rPr>
        <w:t xml:space="preserve"> </w:t>
      </w:r>
      <w:r w:rsidR="00C44BB9" w:rsidRPr="00BF5140">
        <w:rPr>
          <w:rFonts w:cstheme="minorHAnsi"/>
        </w:rPr>
        <w:t xml:space="preserve">most cases these are likely to have been identified, so need to </w:t>
      </w:r>
      <w:r w:rsidR="00EF7AE7" w:rsidRPr="00BF5140">
        <w:rPr>
          <w:rFonts w:cstheme="minorHAnsi"/>
        </w:rPr>
        <w:t>be</w:t>
      </w:r>
      <w:r w:rsidR="00C44BB9" w:rsidRPr="00BF5140">
        <w:rPr>
          <w:rFonts w:cstheme="minorHAnsi"/>
        </w:rPr>
        <w:t xml:space="preserve"> </w:t>
      </w:r>
      <w:r w:rsidR="006E2E35" w:rsidRPr="00BF5140">
        <w:rPr>
          <w:rFonts w:cstheme="minorHAnsi"/>
        </w:rPr>
        <w:t>considered</w:t>
      </w:r>
      <w:r w:rsidR="00C44BB9" w:rsidRPr="00BF5140">
        <w:rPr>
          <w:rFonts w:cstheme="minorHAnsi"/>
        </w:rPr>
        <w:t xml:space="preserve"> in the context </w:t>
      </w:r>
      <w:r w:rsidR="006E2E35" w:rsidRPr="00BF5140">
        <w:rPr>
          <w:rFonts w:cstheme="minorHAnsi"/>
        </w:rPr>
        <w:t>of</w:t>
      </w:r>
      <w:r w:rsidR="00C44BB9" w:rsidRPr="00BF5140">
        <w:rPr>
          <w:rFonts w:cstheme="minorHAnsi"/>
        </w:rPr>
        <w:t xml:space="preserve"> what is preventing them being addressed.</w:t>
      </w:r>
      <w:r w:rsidR="00EE7A35" w:rsidRPr="00BF5140">
        <w:rPr>
          <w:rFonts w:cstheme="minorHAnsi"/>
        </w:rPr>
        <w:t xml:space="preserve"> </w:t>
      </w:r>
      <w:r w:rsidR="00FC508A" w:rsidRPr="00BF5140">
        <w:rPr>
          <w:rFonts w:cstheme="minorHAnsi"/>
        </w:rPr>
        <w:t xml:space="preserve">These are likely to be revenue </w:t>
      </w:r>
      <w:r w:rsidR="00F638F0" w:rsidRPr="00BF5140">
        <w:rPr>
          <w:rFonts w:cstheme="minorHAnsi"/>
        </w:rPr>
        <w:t xml:space="preserve">issues, but unnecessary cost burdens could also be considered here. </w:t>
      </w:r>
    </w:p>
    <w:p w14:paraId="0F479C4A" w14:textId="77777777" w:rsidR="00EF7AE7" w:rsidRPr="00BF5140" w:rsidRDefault="009E0D07" w:rsidP="00D9340A">
      <w:pPr>
        <w:pStyle w:val="ListParagraph"/>
        <w:numPr>
          <w:ilvl w:val="0"/>
          <w:numId w:val="1"/>
        </w:numPr>
        <w:spacing w:after="120" w:line="340" w:lineRule="exact"/>
        <w:ind w:left="360"/>
        <w:contextualSpacing w:val="0"/>
        <w:rPr>
          <w:rFonts w:cstheme="minorHAnsi"/>
        </w:rPr>
      </w:pPr>
      <w:r w:rsidRPr="00BF5140">
        <w:rPr>
          <w:rFonts w:cstheme="minorHAnsi"/>
        </w:rPr>
        <w:t xml:space="preserve">Other factors that result in hydrogen not being currently commercially viable even though it might be in the future. This could include the “valley of death” that new industries face as they move from R&amp;D through to demonstration plants and full-scale deployment. </w:t>
      </w:r>
    </w:p>
    <w:p w14:paraId="2285AB54" w14:textId="02E7614A" w:rsidR="009E0D07" w:rsidRPr="00BF5140" w:rsidRDefault="00EC2EA1" w:rsidP="00EF7AE7">
      <w:pPr>
        <w:pStyle w:val="ListParagraph"/>
        <w:spacing w:after="120" w:line="340" w:lineRule="exact"/>
        <w:ind w:left="360"/>
        <w:contextualSpacing w:val="0"/>
        <w:rPr>
          <w:rFonts w:cstheme="minorHAnsi"/>
        </w:rPr>
      </w:pPr>
      <w:r w:rsidRPr="00BF5140">
        <w:rPr>
          <w:rFonts w:cstheme="minorHAnsi"/>
        </w:rPr>
        <w:t xml:space="preserve">The </w:t>
      </w:r>
      <w:r w:rsidR="006E2E35" w:rsidRPr="00BF5140">
        <w:rPr>
          <w:rFonts w:cstheme="minorHAnsi"/>
        </w:rPr>
        <w:t>Australian</w:t>
      </w:r>
      <w:r w:rsidRPr="00BF5140">
        <w:rPr>
          <w:rFonts w:cstheme="minorHAnsi"/>
        </w:rPr>
        <w:t xml:space="preserve"> </w:t>
      </w:r>
      <w:r w:rsidR="006E2E35" w:rsidRPr="00BF5140">
        <w:rPr>
          <w:rFonts w:cstheme="minorHAnsi"/>
        </w:rPr>
        <w:t>government</w:t>
      </w:r>
      <w:r w:rsidRPr="00BF5140">
        <w:rPr>
          <w:rFonts w:cstheme="minorHAnsi"/>
        </w:rPr>
        <w:t xml:space="preserve"> already has vehicles for </w:t>
      </w:r>
      <w:r w:rsidR="00F1157D" w:rsidRPr="00BF5140">
        <w:rPr>
          <w:rFonts w:cstheme="minorHAnsi"/>
        </w:rPr>
        <w:t xml:space="preserve">supporting early stage </w:t>
      </w:r>
      <w:r w:rsidR="006E2E35" w:rsidRPr="00BF5140">
        <w:rPr>
          <w:rFonts w:cstheme="minorHAnsi"/>
        </w:rPr>
        <w:t>commercialization</w:t>
      </w:r>
      <w:r w:rsidR="00F1157D" w:rsidRPr="00BF5140">
        <w:rPr>
          <w:rFonts w:cstheme="minorHAnsi"/>
        </w:rPr>
        <w:t xml:space="preserve"> of energy </w:t>
      </w:r>
      <w:r w:rsidR="006E2E35" w:rsidRPr="00BF5140">
        <w:rPr>
          <w:rFonts w:cstheme="minorHAnsi"/>
        </w:rPr>
        <w:t>projects</w:t>
      </w:r>
      <w:r w:rsidR="00F1157D" w:rsidRPr="00BF5140">
        <w:rPr>
          <w:rFonts w:cstheme="minorHAnsi"/>
        </w:rPr>
        <w:t xml:space="preserve"> including hydrogen: ARENA and </w:t>
      </w:r>
      <w:r w:rsidR="00A94D23" w:rsidRPr="00BF5140">
        <w:rPr>
          <w:rFonts w:cstheme="minorHAnsi"/>
        </w:rPr>
        <w:t>CEFC,</w:t>
      </w:r>
      <w:r w:rsidR="00400583" w:rsidRPr="00BF5140">
        <w:rPr>
          <w:rFonts w:cstheme="minorHAnsi"/>
        </w:rPr>
        <w:t xml:space="preserve"> </w:t>
      </w:r>
      <w:r w:rsidR="00796A5C" w:rsidRPr="00BF5140">
        <w:rPr>
          <w:rFonts w:cstheme="minorHAnsi"/>
        </w:rPr>
        <w:t>albeit AHC</w:t>
      </w:r>
      <w:r w:rsidR="00A75BCA" w:rsidRPr="00BF5140">
        <w:rPr>
          <w:rFonts w:cstheme="minorHAnsi"/>
        </w:rPr>
        <w:t xml:space="preserve"> has identified </w:t>
      </w:r>
      <w:r w:rsidR="00400583" w:rsidRPr="00BF5140">
        <w:rPr>
          <w:rFonts w:cstheme="minorHAnsi"/>
        </w:rPr>
        <w:t>greater</w:t>
      </w:r>
      <w:r w:rsidR="00A75BCA" w:rsidRPr="00BF5140">
        <w:rPr>
          <w:rFonts w:cstheme="minorHAnsi"/>
        </w:rPr>
        <w:t xml:space="preserve"> funding</w:t>
      </w:r>
      <w:r w:rsidR="00400583" w:rsidRPr="00BF5140">
        <w:rPr>
          <w:rFonts w:cstheme="minorHAnsi"/>
        </w:rPr>
        <w:t xml:space="preserve"> </w:t>
      </w:r>
      <w:r w:rsidR="007B2C3E" w:rsidRPr="00BF5140">
        <w:rPr>
          <w:rFonts w:cstheme="minorHAnsi"/>
        </w:rPr>
        <w:t xml:space="preserve">for their hydrogen streams </w:t>
      </w:r>
      <w:r w:rsidR="00400583" w:rsidRPr="00BF5140">
        <w:rPr>
          <w:rFonts w:cstheme="minorHAnsi"/>
        </w:rPr>
        <w:t xml:space="preserve">would be </w:t>
      </w:r>
      <w:r w:rsidR="006E2E35" w:rsidRPr="00BF5140">
        <w:rPr>
          <w:rFonts w:cstheme="minorHAnsi"/>
        </w:rPr>
        <w:t>useful</w:t>
      </w:r>
      <w:r w:rsidR="00EF7AE7" w:rsidRPr="00BF5140">
        <w:rPr>
          <w:rFonts w:cstheme="minorHAnsi"/>
        </w:rPr>
        <w:t xml:space="preserve">. </w:t>
      </w:r>
      <w:r w:rsidR="009E0D07" w:rsidRPr="00BF5140">
        <w:rPr>
          <w:rFonts w:cstheme="minorHAnsi"/>
        </w:rPr>
        <w:t>Alternatively</w:t>
      </w:r>
      <w:r w:rsidR="004D457D">
        <w:rPr>
          <w:rFonts w:cstheme="minorHAnsi"/>
        </w:rPr>
        <w:t>,</w:t>
      </w:r>
      <w:r w:rsidR="009E0D07" w:rsidRPr="00BF5140">
        <w:rPr>
          <w:rFonts w:cstheme="minorHAnsi"/>
        </w:rPr>
        <w:t xml:space="preserve"> it could </w:t>
      </w:r>
      <w:r w:rsidR="00B11884" w:rsidRPr="00BF5140">
        <w:rPr>
          <w:rFonts w:cstheme="minorHAnsi"/>
        </w:rPr>
        <w:t xml:space="preserve">include </w:t>
      </w:r>
      <w:r w:rsidR="00E869EE" w:rsidRPr="00BF5140">
        <w:rPr>
          <w:rFonts w:cstheme="minorHAnsi"/>
        </w:rPr>
        <w:t>lack of financial recognition of externalities associated with substitute fuels. Again, this whole area is both politically sensitive and</w:t>
      </w:r>
      <w:r w:rsidR="00B833F2" w:rsidRPr="00BF5140">
        <w:rPr>
          <w:rFonts w:cstheme="minorHAnsi"/>
        </w:rPr>
        <w:t xml:space="preserve"> the kinds of instruments that could address this are well understood.</w:t>
      </w:r>
    </w:p>
    <w:p w14:paraId="32DD1BEE" w14:textId="77777777" w:rsidR="007E4A13" w:rsidRDefault="007E4A13" w:rsidP="00D9340A">
      <w:pPr>
        <w:spacing w:after="120" w:line="340" w:lineRule="exact"/>
        <w:rPr>
          <w:rFonts w:cstheme="minorHAnsi"/>
        </w:rPr>
      </w:pPr>
    </w:p>
    <w:p w14:paraId="7EB19B79" w14:textId="68F19A98" w:rsidR="007E4A13" w:rsidRPr="007E4A13" w:rsidRDefault="007E4A13" w:rsidP="007E4A13">
      <w:pPr>
        <w:pStyle w:val="ListParagraph"/>
        <w:numPr>
          <w:ilvl w:val="0"/>
          <w:numId w:val="1"/>
        </w:numPr>
        <w:spacing w:after="120" w:line="340" w:lineRule="exact"/>
        <w:ind w:left="426"/>
        <w:rPr>
          <w:rFonts w:cstheme="minorHAnsi"/>
        </w:rPr>
      </w:pPr>
      <w:r>
        <w:rPr>
          <w:rFonts w:cstheme="minorHAnsi"/>
        </w:rPr>
        <w:lastRenderedPageBreak/>
        <w:t xml:space="preserve">Insufficient coordination between system operators: development planning and network investment being done separately for gas and electricity systems is unlikely to allow transparency and a cost-efficient determination of needs and location for hydrogen development. </w:t>
      </w:r>
      <w:r>
        <w:rPr>
          <w:rFonts w:cstheme="minorHAnsi"/>
        </w:rPr>
        <w:t xml:space="preserve"> </w:t>
      </w:r>
      <w:r w:rsidRPr="007E4A13">
        <w:rPr>
          <w:rFonts w:cstheme="minorHAnsi"/>
        </w:rPr>
        <w:t xml:space="preserve">This barrier also refers to a lack of coordination in the operation of gas and electricity networks (e.g. between TSO and DSO; at TSO level; at DSO level). </w:t>
      </w:r>
    </w:p>
    <w:p w14:paraId="2C5EFAF3" w14:textId="6DDBBA4C" w:rsidR="00896202" w:rsidRPr="00BF5140" w:rsidRDefault="007E4A13" w:rsidP="00D9340A">
      <w:pPr>
        <w:spacing w:after="120" w:line="340" w:lineRule="exact"/>
        <w:rPr>
          <w:rFonts w:cstheme="minorHAnsi"/>
        </w:rPr>
      </w:pPr>
      <w:r>
        <w:rPr>
          <w:rFonts w:cstheme="minorHAnsi"/>
        </w:rPr>
        <w:t>The</w:t>
      </w:r>
      <w:r w:rsidR="00896202" w:rsidRPr="00BF5140">
        <w:rPr>
          <w:rFonts w:cstheme="minorHAnsi"/>
        </w:rPr>
        <w:t xml:space="preserve"> main considerations of this paper </w:t>
      </w:r>
      <w:r w:rsidR="00A94D23" w:rsidRPr="00BF5140">
        <w:rPr>
          <w:rFonts w:cstheme="minorHAnsi"/>
        </w:rPr>
        <w:t>are the</w:t>
      </w:r>
      <w:r w:rsidR="00397736" w:rsidRPr="00BF5140">
        <w:rPr>
          <w:rFonts w:cstheme="minorHAnsi"/>
        </w:rPr>
        <w:t xml:space="preserve"> </w:t>
      </w:r>
      <w:r w:rsidR="00896202" w:rsidRPr="00BF5140">
        <w:rPr>
          <w:rFonts w:cstheme="minorHAnsi"/>
        </w:rPr>
        <w:t xml:space="preserve">barriers that fall under </w:t>
      </w:r>
      <w:r w:rsidR="008C1324" w:rsidRPr="00BF5140">
        <w:rPr>
          <w:rFonts w:cstheme="minorHAnsi"/>
        </w:rPr>
        <w:t>items 1, 2a and 2b above.</w:t>
      </w:r>
    </w:p>
    <w:p w14:paraId="6EE06495" w14:textId="24127159" w:rsidR="00EF7AE7" w:rsidRPr="00BF5140" w:rsidRDefault="00CB4A1D" w:rsidP="00EF7AE7">
      <w:pPr>
        <w:pStyle w:val="Heading3"/>
        <w:pBdr>
          <w:top w:val="single" w:sz="4" w:space="1" w:color="auto"/>
          <w:left w:val="single" w:sz="4" w:space="4" w:color="auto"/>
          <w:bottom w:val="single" w:sz="4" w:space="1" w:color="auto"/>
          <w:right w:val="single" w:sz="4" w:space="4" w:color="auto"/>
        </w:pBdr>
        <w:spacing w:after="120" w:line="340" w:lineRule="exact"/>
        <w:rPr>
          <w:rFonts w:asciiTheme="minorHAnsi" w:hAnsiTheme="minorHAnsi" w:cstheme="minorHAnsi"/>
          <w:color w:val="auto"/>
          <w:sz w:val="22"/>
          <w:szCs w:val="22"/>
        </w:rPr>
      </w:pPr>
      <w:r w:rsidRPr="00BF5140">
        <w:rPr>
          <w:rFonts w:asciiTheme="minorHAnsi" w:hAnsiTheme="minorHAnsi" w:cstheme="minorHAnsi"/>
          <w:b/>
          <w:bCs/>
          <w:color w:val="auto"/>
          <w:sz w:val="22"/>
          <w:szCs w:val="22"/>
        </w:rPr>
        <w:t>Action</w:t>
      </w:r>
      <w:r w:rsidR="00EF7AE7" w:rsidRPr="00BF5140">
        <w:rPr>
          <w:rFonts w:asciiTheme="minorHAnsi" w:hAnsiTheme="minorHAnsi" w:cstheme="minorHAnsi"/>
          <w:b/>
          <w:bCs/>
          <w:color w:val="auto"/>
          <w:sz w:val="22"/>
          <w:szCs w:val="22"/>
        </w:rPr>
        <w:t>:</w:t>
      </w:r>
      <w:r w:rsidR="00EF7AE7" w:rsidRPr="00BF5140">
        <w:rPr>
          <w:rFonts w:asciiTheme="minorHAnsi" w:hAnsiTheme="minorHAnsi" w:cstheme="minorHAnsi"/>
          <w:color w:val="auto"/>
          <w:sz w:val="22"/>
          <w:szCs w:val="22"/>
        </w:rPr>
        <w:t xml:space="preserve"> Ranking barriers to hydrogen deployment based on evolving businesses cases and sector preferences will determine where efforts should be concentrated.</w:t>
      </w:r>
    </w:p>
    <w:p w14:paraId="1CDFC264" w14:textId="61C49328" w:rsidR="0046290A" w:rsidRPr="00BF5140" w:rsidRDefault="00C70B97" w:rsidP="00EF7AE7">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 xml:space="preserve">Analysis: </w:t>
      </w:r>
      <w:r w:rsidR="00DF24BA" w:rsidRPr="00BF5140">
        <w:rPr>
          <w:rFonts w:asciiTheme="minorHAnsi" w:hAnsiTheme="minorHAnsi" w:cstheme="minorHAnsi"/>
          <w:sz w:val="22"/>
          <w:szCs w:val="22"/>
        </w:rPr>
        <w:t>Summary table</w:t>
      </w:r>
    </w:p>
    <w:tbl>
      <w:tblPr>
        <w:tblStyle w:val="TableGrid"/>
        <w:tblW w:w="0" w:type="auto"/>
        <w:tblLook w:val="04A0" w:firstRow="1" w:lastRow="0" w:firstColumn="1" w:lastColumn="0" w:noHBand="0" w:noVBand="1"/>
      </w:tblPr>
      <w:tblGrid>
        <w:gridCol w:w="2093"/>
        <w:gridCol w:w="1984"/>
        <w:gridCol w:w="2854"/>
        <w:gridCol w:w="2311"/>
      </w:tblGrid>
      <w:tr w:rsidR="007B2C3E" w:rsidRPr="00BF5140" w14:paraId="5B740DB4" w14:textId="77777777" w:rsidTr="009552B3">
        <w:tc>
          <w:tcPr>
            <w:tcW w:w="2093" w:type="dxa"/>
          </w:tcPr>
          <w:p w14:paraId="6617E17B" w14:textId="78976A21" w:rsidR="007B2C3E" w:rsidRPr="00BF5140" w:rsidRDefault="007B2C3E" w:rsidP="00D9340A">
            <w:pPr>
              <w:spacing w:after="120" w:line="340" w:lineRule="exact"/>
              <w:rPr>
                <w:rFonts w:cstheme="minorHAnsi"/>
                <w:b/>
                <w:bCs/>
              </w:rPr>
            </w:pPr>
            <w:r w:rsidRPr="00BF5140">
              <w:rPr>
                <w:rFonts w:cstheme="minorHAnsi"/>
                <w:b/>
                <w:bCs/>
              </w:rPr>
              <w:t>Scenario</w:t>
            </w:r>
          </w:p>
        </w:tc>
        <w:tc>
          <w:tcPr>
            <w:tcW w:w="1984" w:type="dxa"/>
          </w:tcPr>
          <w:p w14:paraId="3D3207EC" w14:textId="7DF2DFDB" w:rsidR="007B2C3E" w:rsidRPr="00BF5140" w:rsidRDefault="007B2C3E" w:rsidP="00D9340A">
            <w:pPr>
              <w:spacing w:after="120" w:line="340" w:lineRule="exact"/>
              <w:rPr>
                <w:rFonts w:cstheme="minorHAnsi"/>
                <w:b/>
                <w:bCs/>
              </w:rPr>
            </w:pPr>
            <w:r w:rsidRPr="00BF5140">
              <w:rPr>
                <w:rFonts w:cstheme="minorHAnsi"/>
                <w:b/>
                <w:bCs/>
              </w:rPr>
              <w:t>Hard barriers</w:t>
            </w:r>
          </w:p>
        </w:tc>
        <w:tc>
          <w:tcPr>
            <w:tcW w:w="2854" w:type="dxa"/>
          </w:tcPr>
          <w:p w14:paraId="4366B337" w14:textId="48B12D98" w:rsidR="007B2C3E" w:rsidRPr="00BF5140" w:rsidRDefault="007B2C3E" w:rsidP="00D9340A">
            <w:pPr>
              <w:spacing w:after="120" w:line="340" w:lineRule="exact"/>
              <w:rPr>
                <w:rFonts w:cstheme="minorHAnsi"/>
                <w:b/>
                <w:bCs/>
              </w:rPr>
            </w:pPr>
            <w:r w:rsidRPr="00BF5140">
              <w:rPr>
                <w:rFonts w:cstheme="minorHAnsi"/>
                <w:b/>
                <w:bCs/>
              </w:rPr>
              <w:t>Soft barriers – lack of regulatory clarity</w:t>
            </w:r>
          </w:p>
        </w:tc>
        <w:tc>
          <w:tcPr>
            <w:tcW w:w="2311" w:type="dxa"/>
          </w:tcPr>
          <w:p w14:paraId="55F60D96" w14:textId="5A6C218B" w:rsidR="007B2C3E" w:rsidRPr="00BF5140" w:rsidRDefault="007B2C3E" w:rsidP="00D9340A">
            <w:pPr>
              <w:spacing w:after="120" w:line="340" w:lineRule="exact"/>
              <w:rPr>
                <w:rFonts w:cstheme="minorHAnsi"/>
                <w:b/>
                <w:bCs/>
              </w:rPr>
            </w:pPr>
            <w:r w:rsidRPr="00BF5140">
              <w:rPr>
                <w:rFonts w:cstheme="minorHAnsi"/>
                <w:b/>
                <w:bCs/>
              </w:rPr>
              <w:t>Soft barriers – distortions to true commercial value</w:t>
            </w:r>
          </w:p>
        </w:tc>
      </w:tr>
      <w:tr w:rsidR="007B2C3E" w:rsidRPr="00BF5140" w14:paraId="505C073A" w14:textId="77777777" w:rsidTr="009552B3">
        <w:tc>
          <w:tcPr>
            <w:tcW w:w="2093" w:type="dxa"/>
          </w:tcPr>
          <w:p w14:paraId="0E3EA6E8" w14:textId="4706A86C" w:rsidR="007B2C3E" w:rsidRPr="00BF5140" w:rsidRDefault="007B2C3E" w:rsidP="00D9340A">
            <w:pPr>
              <w:spacing w:after="120" w:line="340" w:lineRule="exact"/>
              <w:rPr>
                <w:rFonts w:cstheme="minorHAnsi"/>
              </w:rPr>
            </w:pPr>
            <w:r w:rsidRPr="00BF5140">
              <w:rPr>
                <w:rFonts w:cstheme="minorHAnsi"/>
              </w:rPr>
              <w:t>Scenario A: hydrogen injection into the gas network</w:t>
            </w:r>
          </w:p>
        </w:tc>
        <w:tc>
          <w:tcPr>
            <w:tcW w:w="1984" w:type="dxa"/>
          </w:tcPr>
          <w:p w14:paraId="1495D712" w14:textId="27CAE4A0" w:rsidR="007B2C3E" w:rsidRPr="00BF5140" w:rsidRDefault="009221FD" w:rsidP="00D9340A">
            <w:pPr>
              <w:spacing w:after="120" w:line="340" w:lineRule="exact"/>
              <w:rPr>
                <w:rFonts w:cstheme="minorHAnsi"/>
              </w:rPr>
            </w:pPr>
            <w:r w:rsidRPr="00BF5140">
              <w:rPr>
                <w:rFonts w:cstheme="minorHAnsi"/>
              </w:rPr>
              <w:t xml:space="preserve">No, although pure hydrogen network not practical under </w:t>
            </w:r>
            <w:r w:rsidR="00A94D23" w:rsidRPr="00BF5140">
              <w:rPr>
                <w:rFonts w:cstheme="minorHAnsi"/>
              </w:rPr>
              <w:t>existing regs</w:t>
            </w:r>
          </w:p>
        </w:tc>
        <w:tc>
          <w:tcPr>
            <w:tcW w:w="2854" w:type="dxa"/>
          </w:tcPr>
          <w:p w14:paraId="53687746" w14:textId="18B85E6A" w:rsidR="007B2C3E" w:rsidRPr="00BF5140" w:rsidRDefault="004656A6" w:rsidP="00D9340A">
            <w:pPr>
              <w:spacing w:after="120" w:line="340" w:lineRule="exact"/>
              <w:rPr>
                <w:rFonts w:cstheme="minorHAnsi"/>
              </w:rPr>
            </w:pPr>
            <w:r w:rsidRPr="00BF5140">
              <w:rPr>
                <w:rFonts w:cstheme="minorHAnsi"/>
              </w:rPr>
              <w:t>Hydrogen typically not covered</w:t>
            </w:r>
            <w:r w:rsidR="00B0750C" w:rsidRPr="00BF5140">
              <w:rPr>
                <w:rFonts w:cstheme="minorHAnsi"/>
              </w:rPr>
              <w:t xml:space="preserve"> by existing regs.</w:t>
            </w:r>
            <w:r w:rsidR="00493327" w:rsidRPr="00BF5140">
              <w:rPr>
                <w:rFonts w:cstheme="minorHAnsi"/>
              </w:rPr>
              <w:t xml:space="preserve"> On balance would be </w:t>
            </w:r>
            <w:r w:rsidR="006E2E35" w:rsidRPr="00BF5140">
              <w:rPr>
                <w:rFonts w:cstheme="minorHAnsi"/>
              </w:rPr>
              <w:t>preferable</w:t>
            </w:r>
            <w:r w:rsidR="00493327" w:rsidRPr="00BF5140">
              <w:rPr>
                <w:rFonts w:cstheme="minorHAnsi"/>
              </w:rPr>
              <w:t xml:space="preserve"> to do so</w:t>
            </w:r>
          </w:p>
        </w:tc>
        <w:tc>
          <w:tcPr>
            <w:tcW w:w="2311" w:type="dxa"/>
          </w:tcPr>
          <w:p w14:paraId="69B498EF" w14:textId="06FF08A7" w:rsidR="007B2C3E" w:rsidRPr="00BF5140" w:rsidRDefault="004656A6" w:rsidP="00D9340A">
            <w:pPr>
              <w:spacing w:after="120" w:line="340" w:lineRule="exact"/>
              <w:rPr>
                <w:rFonts w:cstheme="minorHAnsi"/>
              </w:rPr>
            </w:pPr>
            <w:r w:rsidRPr="00BF5140">
              <w:rPr>
                <w:rFonts w:cstheme="minorHAnsi"/>
              </w:rPr>
              <w:t>No</w:t>
            </w:r>
          </w:p>
        </w:tc>
      </w:tr>
      <w:tr w:rsidR="007B2C3E" w:rsidRPr="00BF5140" w14:paraId="67A3989E" w14:textId="77777777" w:rsidTr="009552B3">
        <w:tc>
          <w:tcPr>
            <w:tcW w:w="2093" w:type="dxa"/>
          </w:tcPr>
          <w:p w14:paraId="758E2651" w14:textId="7E8B3144" w:rsidR="007B2C3E" w:rsidRPr="00BF5140" w:rsidRDefault="007B2C3E" w:rsidP="00D9340A">
            <w:pPr>
              <w:spacing w:after="120" w:line="340" w:lineRule="exact"/>
              <w:rPr>
                <w:rFonts w:cstheme="minorHAnsi"/>
              </w:rPr>
            </w:pPr>
            <w:r w:rsidRPr="00BF5140">
              <w:rPr>
                <w:rFonts w:cstheme="minorHAnsi"/>
              </w:rPr>
              <w:t>Scenario B: Gas as a feedstock for hydrogen production</w:t>
            </w:r>
          </w:p>
        </w:tc>
        <w:tc>
          <w:tcPr>
            <w:tcW w:w="1984" w:type="dxa"/>
          </w:tcPr>
          <w:p w14:paraId="6960E0FE" w14:textId="6E39B312" w:rsidR="007B2C3E" w:rsidRPr="00BF5140" w:rsidRDefault="009221FD" w:rsidP="00D9340A">
            <w:pPr>
              <w:spacing w:after="120" w:line="340" w:lineRule="exact"/>
              <w:rPr>
                <w:rFonts w:cstheme="minorHAnsi"/>
              </w:rPr>
            </w:pPr>
            <w:r w:rsidRPr="00BF5140">
              <w:rPr>
                <w:rFonts w:cstheme="minorHAnsi"/>
              </w:rPr>
              <w:t>No</w:t>
            </w:r>
          </w:p>
        </w:tc>
        <w:tc>
          <w:tcPr>
            <w:tcW w:w="2854" w:type="dxa"/>
          </w:tcPr>
          <w:p w14:paraId="44A45BF2" w14:textId="2E917401" w:rsidR="007B2C3E" w:rsidRPr="00BF5140" w:rsidRDefault="008F05C3" w:rsidP="00D9340A">
            <w:pPr>
              <w:spacing w:after="120" w:line="340" w:lineRule="exact"/>
              <w:rPr>
                <w:rFonts w:cstheme="minorHAnsi"/>
              </w:rPr>
            </w:pPr>
            <w:r w:rsidRPr="00BF5140">
              <w:rPr>
                <w:rFonts w:cstheme="minorHAnsi"/>
              </w:rPr>
              <w:t>No</w:t>
            </w:r>
          </w:p>
        </w:tc>
        <w:tc>
          <w:tcPr>
            <w:tcW w:w="2311" w:type="dxa"/>
          </w:tcPr>
          <w:p w14:paraId="70682D6D" w14:textId="24A882CA" w:rsidR="007B2C3E" w:rsidRPr="00BF5140" w:rsidRDefault="008F05C3" w:rsidP="00D9340A">
            <w:pPr>
              <w:spacing w:after="120" w:line="340" w:lineRule="exact"/>
              <w:rPr>
                <w:rFonts w:cstheme="minorHAnsi"/>
              </w:rPr>
            </w:pPr>
            <w:r w:rsidRPr="00BF5140">
              <w:rPr>
                <w:rFonts w:cstheme="minorHAnsi"/>
              </w:rPr>
              <w:t>None specific to hydrogen</w:t>
            </w:r>
          </w:p>
        </w:tc>
      </w:tr>
      <w:tr w:rsidR="007B2C3E" w:rsidRPr="00BF5140" w14:paraId="30FFAFB9" w14:textId="77777777" w:rsidTr="009552B3">
        <w:tc>
          <w:tcPr>
            <w:tcW w:w="2093" w:type="dxa"/>
          </w:tcPr>
          <w:p w14:paraId="0A22E681" w14:textId="2A474E10" w:rsidR="007B2C3E" w:rsidRPr="00BF5140" w:rsidRDefault="007B2C3E" w:rsidP="00D9340A">
            <w:pPr>
              <w:spacing w:after="120" w:line="340" w:lineRule="exact"/>
              <w:rPr>
                <w:rFonts w:cstheme="minorHAnsi"/>
              </w:rPr>
            </w:pPr>
            <w:r w:rsidRPr="00BF5140">
              <w:rPr>
                <w:rFonts w:cstheme="minorHAnsi"/>
              </w:rPr>
              <w:t>Scenario C: Hydrogen hub</w:t>
            </w:r>
          </w:p>
        </w:tc>
        <w:tc>
          <w:tcPr>
            <w:tcW w:w="1984" w:type="dxa"/>
          </w:tcPr>
          <w:p w14:paraId="77F19510" w14:textId="43BE34BB" w:rsidR="007B2C3E" w:rsidRPr="00BF5140" w:rsidRDefault="009221FD" w:rsidP="00D9340A">
            <w:pPr>
              <w:spacing w:after="120" w:line="340" w:lineRule="exact"/>
              <w:rPr>
                <w:rFonts w:cstheme="minorHAnsi"/>
              </w:rPr>
            </w:pPr>
            <w:r w:rsidRPr="00BF5140">
              <w:rPr>
                <w:rFonts w:cstheme="minorHAnsi"/>
              </w:rPr>
              <w:t>No</w:t>
            </w:r>
          </w:p>
        </w:tc>
        <w:tc>
          <w:tcPr>
            <w:tcW w:w="2854" w:type="dxa"/>
          </w:tcPr>
          <w:p w14:paraId="09F07B7B" w14:textId="59A17B8D" w:rsidR="007B2C3E" w:rsidRPr="00BF5140" w:rsidRDefault="00493327" w:rsidP="00D9340A">
            <w:pPr>
              <w:spacing w:after="120" w:line="340" w:lineRule="exact"/>
              <w:rPr>
                <w:rFonts w:cstheme="minorHAnsi"/>
              </w:rPr>
            </w:pPr>
            <w:r w:rsidRPr="00BF5140">
              <w:rPr>
                <w:rFonts w:cstheme="minorHAnsi"/>
              </w:rPr>
              <w:t>Possibly around pipelines</w:t>
            </w:r>
          </w:p>
        </w:tc>
        <w:tc>
          <w:tcPr>
            <w:tcW w:w="2311" w:type="dxa"/>
          </w:tcPr>
          <w:p w14:paraId="69BDCA1D" w14:textId="1A671529" w:rsidR="007B2C3E" w:rsidRPr="00BF5140" w:rsidRDefault="00572625" w:rsidP="00D9340A">
            <w:pPr>
              <w:spacing w:after="120" w:line="340" w:lineRule="exact"/>
              <w:rPr>
                <w:rFonts w:cstheme="minorHAnsi"/>
              </w:rPr>
            </w:pPr>
            <w:r w:rsidRPr="00BF5140">
              <w:rPr>
                <w:rFonts w:cstheme="minorHAnsi"/>
              </w:rPr>
              <w:t>No</w:t>
            </w:r>
          </w:p>
        </w:tc>
      </w:tr>
      <w:tr w:rsidR="007B2C3E" w:rsidRPr="00BF5140" w14:paraId="5DFC36BB" w14:textId="77777777" w:rsidTr="009552B3">
        <w:tc>
          <w:tcPr>
            <w:tcW w:w="2093" w:type="dxa"/>
          </w:tcPr>
          <w:p w14:paraId="5C052957" w14:textId="419B9480" w:rsidR="007B2C3E" w:rsidRPr="00BF5140" w:rsidRDefault="007B2C3E" w:rsidP="00D9340A">
            <w:pPr>
              <w:spacing w:after="120" w:line="340" w:lineRule="exact"/>
              <w:rPr>
                <w:rFonts w:cstheme="minorHAnsi"/>
              </w:rPr>
            </w:pPr>
            <w:r w:rsidRPr="00BF5140">
              <w:rPr>
                <w:rFonts w:cstheme="minorHAnsi"/>
              </w:rPr>
              <w:t>Scenario D: Electrolysis of surplus renewable energy</w:t>
            </w:r>
          </w:p>
        </w:tc>
        <w:tc>
          <w:tcPr>
            <w:tcW w:w="1984" w:type="dxa"/>
          </w:tcPr>
          <w:p w14:paraId="4D0FE657" w14:textId="715A05CD" w:rsidR="007B2C3E" w:rsidRPr="00BF5140" w:rsidRDefault="009221FD" w:rsidP="00D9340A">
            <w:pPr>
              <w:spacing w:after="120" w:line="340" w:lineRule="exact"/>
              <w:rPr>
                <w:rFonts w:cstheme="minorHAnsi"/>
              </w:rPr>
            </w:pPr>
            <w:r w:rsidRPr="00BF5140">
              <w:rPr>
                <w:rFonts w:cstheme="minorHAnsi"/>
              </w:rPr>
              <w:t>No</w:t>
            </w:r>
          </w:p>
        </w:tc>
        <w:tc>
          <w:tcPr>
            <w:tcW w:w="2854" w:type="dxa"/>
          </w:tcPr>
          <w:p w14:paraId="76047B7B" w14:textId="53374119" w:rsidR="007B2C3E" w:rsidRPr="00BF5140" w:rsidRDefault="00FA1EA4" w:rsidP="00D9340A">
            <w:pPr>
              <w:spacing w:after="120" w:line="340" w:lineRule="exact"/>
              <w:rPr>
                <w:rFonts w:cstheme="minorHAnsi"/>
              </w:rPr>
            </w:pPr>
            <w:r w:rsidRPr="00BF5140">
              <w:rPr>
                <w:rFonts w:cstheme="minorHAnsi"/>
              </w:rPr>
              <w:t>None major, but integrated planning could be useful</w:t>
            </w:r>
          </w:p>
        </w:tc>
        <w:tc>
          <w:tcPr>
            <w:tcW w:w="2311" w:type="dxa"/>
          </w:tcPr>
          <w:p w14:paraId="250222C2" w14:textId="77777777" w:rsidR="007B2C3E" w:rsidRPr="00BF5140" w:rsidRDefault="007B2C3E" w:rsidP="00D9340A">
            <w:pPr>
              <w:spacing w:after="120" w:line="340" w:lineRule="exact"/>
              <w:rPr>
                <w:rFonts w:cstheme="minorHAnsi"/>
              </w:rPr>
            </w:pPr>
          </w:p>
        </w:tc>
      </w:tr>
      <w:tr w:rsidR="007B2C3E" w:rsidRPr="00BF5140" w14:paraId="2C842D74" w14:textId="77777777" w:rsidTr="009552B3">
        <w:tc>
          <w:tcPr>
            <w:tcW w:w="2093" w:type="dxa"/>
          </w:tcPr>
          <w:p w14:paraId="349E02B4" w14:textId="5A02EDEB" w:rsidR="007B2C3E" w:rsidRPr="00BF5140" w:rsidRDefault="007B2C3E" w:rsidP="00D9340A">
            <w:pPr>
              <w:spacing w:after="120" w:line="340" w:lineRule="exact"/>
              <w:rPr>
                <w:rFonts w:cstheme="minorHAnsi"/>
              </w:rPr>
            </w:pPr>
            <w:r w:rsidRPr="00BF5140">
              <w:rPr>
                <w:rFonts w:cstheme="minorHAnsi"/>
              </w:rPr>
              <w:t xml:space="preserve">Scenario E: </w:t>
            </w:r>
            <w:r w:rsidR="009221FD" w:rsidRPr="00BF5140">
              <w:rPr>
                <w:rFonts w:cstheme="minorHAnsi"/>
              </w:rPr>
              <w:t xml:space="preserve">Energy </w:t>
            </w:r>
            <w:r w:rsidR="006E2E35" w:rsidRPr="00BF5140">
              <w:rPr>
                <w:rFonts w:cstheme="minorHAnsi"/>
              </w:rPr>
              <w:t>storage</w:t>
            </w:r>
            <w:r w:rsidR="009221FD" w:rsidRPr="00BF5140">
              <w:rPr>
                <w:rFonts w:cstheme="minorHAnsi"/>
              </w:rPr>
              <w:t xml:space="preserve"> model</w:t>
            </w:r>
          </w:p>
          <w:p w14:paraId="2FCC7E00" w14:textId="77777777" w:rsidR="007B2C3E" w:rsidRPr="00BF5140" w:rsidRDefault="007B2C3E" w:rsidP="00D9340A">
            <w:pPr>
              <w:spacing w:after="120" w:line="340" w:lineRule="exact"/>
              <w:rPr>
                <w:rFonts w:cstheme="minorHAnsi"/>
              </w:rPr>
            </w:pPr>
          </w:p>
        </w:tc>
        <w:tc>
          <w:tcPr>
            <w:tcW w:w="1984" w:type="dxa"/>
          </w:tcPr>
          <w:p w14:paraId="530A8636" w14:textId="238FF372" w:rsidR="007B2C3E" w:rsidRPr="00BF5140" w:rsidRDefault="009221FD" w:rsidP="00D9340A">
            <w:pPr>
              <w:spacing w:after="120" w:line="340" w:lineRule="exact"/>
              <w:rPr>
                <w:rFonts w:cstheme="minorHAnsi"/>
              </w:rPr>
            </w:pPr>
            <w:r w:rsidRPr="00BF5140">
              <w:rPr>
                <w:rFonts w:cstheme="minorHAnsi"/>
              </w:rPr>
              <w:t>no</w:t>
            </w:r>
          </w:p>
        </w:tc>
        <w:tc>
          <w:tcPr>
            <w:tcW w:w="2854" w:type="dxa"/>
          </w:tcPr>
          <w:p w14:paraId="55CBB901" w14:textId="51829D66" w:rsidR="007B2C3E" w:rsidRPr="00BF5140" w:rsidRDefault="009552B3" w:rsidP="00D9340A">
            <w:pPr>
              <w:spacing w:after="120" w:line="340" w:lineRule="exact"/>
              <w:rPr>
                <w:rFonts w:cstheme="minorHAnsi"/>
              </w:rPr>
            </w:pPr>
            <w:r w:rsidRPr="00BF5140">
              <w:rPr>
                <w:rFonts w:cstheme="minorHAnsi"/>
              </w:rPr>
              <w:t>Energy storage of all types subject to some regulatory issues – AEMO has proposed a rule change</w:t>
            </w:r>
            <w:r w:rsidR="00F24B93" w:rsidRPr="00BF5140">
              <w:rPr>
                <w:rFonts w:cstheme="minorHAnsi"/>
              </w:rPr>
              <w:t>. Consider also use of geological storage.</w:t>
            </w:r>
          </w:p>
        </w:tc>
        <w:tc>
          <w:tcPr>
            <w:tcW w:w="2311" w:type="dxa"/>
          </w:tcPr>
          <w:p w14:paraId="03855114" w14:textId="7F18FD6B" w:rsidR="007B2C3E" w:rsidRPr="00BF5140" w:rsidRDefault="001316FC" w:rsidP="00D9340A">
            <w:pPr>
              <w:spacing w:after="120" w:line="340" w:lineRule="exact"/>
              <w:rPr>
                <w:rFonts w:cstheme="minorHAnsi"/>
              </w:rPr>
            </w:pPr>
            <w:r w:rsidRPr="00BF5140">
              <w:rPr>
                <w:rFonts w:cstheme="minorHAnsi"/>
              </w:rPr>
              <w:t xml:space="preserve">Potentially the market price cap, but may not be realistic to seek change just for </w:t>
            </w:r>
            <w:r w:rsidR="00AC13B4" w:rsidRPr="00BF5140">
              <w:rPr>
                <w:rFonts w:cstheme="minorHAnsi"/>
              </w:rPr>
              <w:t>hydrogen</w:t>
            </w:r>
          </w:p>
        </w:tc>
      </w:tr>
    </w:tbl>
    <w:p w14:paraId="24B71F17" w14:textId="71EC72D5" w:rsidR="00F44222" w:rsidRPr="00BF5140" w:rsidRDefault="00EF7AE7"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br/>
      </w:r>
      <w:r w:rsidR="00F44222" w:rsidRPr="00BF5140">
        <w:rPr>
          <w:rFonts w:asciiTheme="minorHAnsi" w:hAnsiTheme="minorHAnsi" w:cstheme="minorHAnsi"/>
          <w:sz w:val="22"/>
          <w:szCs w:val="22"/>
        </w:rPr>
        <w:t>Hydrogen and gas sector coupling</w:t>
      </w:r>
    </w:p>
    <w:p w14:paraId="0B5B89A1" w14:textId="6E4C1B79" w:rsidR="00F44222" w:rsidRPr="00BF5140" w:rsidRDefault="00F44222"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Scenario A: hydrogen injection into the gas network</w:t>
      </w:r>
    </w:p>
    <w:p w14:paraId="0133DB03" w14:textId="1BE0B170" w:rsidR="00E80CD7" w:rsidRPr="00BF5140" w:rsidRDefault="00C44770" w:rsidP="00D9340A">
      <w:pPr>
        <w:spacing w:after="120" w:line="340" w:lineRule="exact"/>
        <w:rPr>
          <w:rFonts w:cstheme="minorHAnsi"/>
        </w:rPr>
      </w:pPr>
      <w:r w:rsidRPr="00BF5140">
        <w:rPr>
          <w:rFonts w:cstheme="minorHAnsi"/>
        </w:rPr>
        <w:t xml:space="preserve">There are two stages of hydrogen injection into existing gas networks. The first stage is a </w:t>
      </w:r>
      <w:r w:rsidR="006F5E60" w:rsidRPr="00BF5140">
        <w:rPr>
          <w:rFonts w:cstheme="minorHAnsi"/>
        </w:rPr>
        <w:t>blending of a small proportion of hydrogen with natural gas.</w:t>
      </w:r>
      <w:r w:rsidR="001639BA" w:rsidRPr="00BF5140">
        <w:rPr>
          <w:rFonts w:cstheme="minorHAnsi"/>
        </w:rPr>
        <w:t xml:space="preserve"> T</w:t>
      </w:r>
      <w:r w:rsidR="00E80CD7" w:rsidRPr="00BF5140">
        <w:rPr>
          <w:rFonts w:cstheme="minorHAnsi"/>
        </w:rPr>
        <w:t xml:space="preserve">ests indicate that up to about 10-15 per cent </w:t>
      </w:r>
      <w:r w:rsidR="00E80CD7" w:rsidRPr="00BF5140">
        <w:rPr>
          <w:rFonts w:cstheme="minorHAnsi"/>
        </w:rPr>
        <w:lastRenderedPageBreak/>
        <w:t xml:space="preserve">hydrogen, existing end use appliances will continue to function </w:t>
      </w:r>
      <w:r w:rsidR="00EF7AE7" w:rsidRPr="00BF5140">
        <w:rPr>
          <w:rFonts w:cstheme="minorHAnsi"/>
        </w:rPr>
        <w:t>without major concerns</w:t>
      </w:r>
      <w:r w:rsidR="00E80CD7" w:rsidRPr="00BF5140">
        <w:rPr>
          <w:rFonts w:cstheme="minorHAnsi"/>
        </w:rPr>
        <w:t xml:space="preserve">. </w:t>
      </w:r>
      <w:r w:rsidR="00F7746C" w:rsidRPr="00BF5140">
        <w:rPr>
          <w:rFonts w:cstheme="minorHAnsi"/>
        </w:rPr>
        <w:t>Several projects around Australia and internationally are trialling this approach</w:t>
      </w:r>
      <w:r w:rsidR="000362FB" w:rsidRPr="00BF5140">
        <w:rPr>
          <w:rFonts w:cstheme="minorHAnsi"/>
        </w:rPr>
        <w:t>.</w:t>
      </w:r>
    </w:p>
    <w:p w14:paraId="4B9F86CA" w14:textId="2D7883FE" w:rsidR="00F7746C" w:rsidRPr="00BF5140" w:rsidRDefault="00F7746C" w:rsidP="00D9340A">
      <w:pPr>
        <w:spacing w:after="120" w:line="340" w:lineRule="exact"/>
        <w:rPr>
          <w:rFonts w:cstheme="minorHAnsi"/>
        </w:rPr>
      </w:pPr>
      <w:r w:rsidRPr="00BF5140">
        <w:rPr>
          <w:rFonts w:cstheme="minorHAnsi"/>
        </w:rPr>
        <w:t xml:space="preserve">Full conversion of existing pipeline networks to hydrogen is a different proposition and is many years off. </w:t>
      </w:r>
      <w:r w:rsidR="00917766" w:rsidRPr="00BF5140">
        <w:rPr>
          <w:rFonts w:cstheme="minorHAnsi"/>
        </w:rPr>
        <w:t xml:space="preserve">Far more </w:t>
      </w:r>
      <w:r w:rsidR="006E2E35" w:rsidRPr="00BF5140">
        <w:rPr>
          <w:rFonts w:cstheme="minorHAnsi"/>
        </w:rPr>
        <w:t>testing</w:t>
      </w:r>
      <w:r w:rsidR="00917766" w:rsidRPr="00BF5140">
        <w:rPr>
          <w:rFonts w:cstheme="minorHAnsi"/>
        </w:rPr>
        <w:t xml:space="preserve"> of existing reticulated networks </w:t>
      </w:r>
      <w:r w:rsidR="00C23414" w:rsidRPr="00BF5140">
        <w:rPr>
          <w:rFonts w:cstheme="minorHAnsi"/>
        </w:rPr>
        <w:t xml:space="preserve">to </w:t>
      </w:r>
      <w:r w:rsidR="006E2E35" w:rsidRPr="00BF5140">
        <w:rPr>
          <w:rFonts w:cstheme="minorHAnsi"/>
        </w:rPr>
        <w:t>ensure</w:t>
      </w:r>
      <w:r w:rsidR="00C23414" w:rsidRPr="00BF5140">
        <w:rPr>
          <w:rFonts w:cstheme="minorHAnsi"/>
        </w:rPr>
        <w:t xml:space="preserve"> they could carry pure hydrogen safely (it would </w:t>
      </w:r>
      <w:r w:rsidR="006E2E35" w:rsidRPr="00BF5140">
        <w:rPr>
          <w:rFonts w:cstheme="minorHAnsi"/>
        </w:rPr>
        <w:t>have</w:t>
      </w:r>
      <w:r w:rsidR="00C23414" w:rsidRPr="00BF5140">
        <w:rPr>
          <w:rFonts w:cstheme="minorHAnsi"/>
        </w:rPr>
        <w:t xml:space="preserve"> a higher leakage rate due to the smaller molecules, for example) and </w:t>
      </w:r>
      <w:r w:rsidR="0033323B" w:rsidRPr="00BF5140">
        <w:rPr>
          <w:rFonts w:cstheme="minorHAnsi"/>
        </w:rPr>
        <w:t xml:space="preserve">changeover of end appliances would </w:t>
      </w:r>
      <w:r w:rsidR="009A7A43" w:rsidRPr="00BF5140">
        <w:rPr>
          <w:rFonts w:cstheme="minorHAnsi"/>
        </w:rPr>
        <w:t>be required.</w:t>
      </w:r>
    </w:p>
    <w:p w14:paraId="324A7EAF" w14:textId="5EC7239A" w:rsidR="009A7A43" w:rsidRPr="00BF5140" w:rsidRDefault="009A7A43" w:rsidP="00D9340A">
      <w:pPr>
        <w:spacing w:after="120" w:line="340" w:lineRule="exact"/>
        <w:rPr>
          <w:rFonts w:cstheme="minorHAnsi"/>
        </w:rPr>
      </w:pPr>
      <w:r w:rsidRPr="00BF5140">
        <w:rPr>
          <w:rFonts w:cstheme="minorHAnsi"/>
        </w:rPr>
        <w:t xml:space="preserve">ENA asked Johnson </w:t>
      </w:r>
      <w:r w:rsidR="005A10F4" w:rsidRPr="00BF5140">
        <w:rPr>
          <w:rFonts w:cstheme="minorHAnsi"/>
        </w:rPr>
        <w:t xml:space="preserve">Winter </w:t>
      </w:r>
      <w:r w:rsidRPr="00BF5140">
        <w:rPr>
          <w:rFonts w:cstheme="minorHAnsi"/>
        </w:rPr>
        <w:t>and Slatter</w:t>
      </w:r>
      <w:r w:rsidR="00036FD2" w:rsidRPr="00BF5140">
        <w:rPr>
          <w:rFonts w:cstheme="minorHAnsi"/>
        </w:rPr>
        <w:t>y (JWS)</w:t>
      </w:r>
      <w:r w:rsidRPr="00BF5140">
        <w:rPr>
          <w:rFonts w:cstheme="minorHAnsi"/>
        </w:rPr>
        <w:t xml:space="preserve"> to review </w:t>
      </w:r>
      <w:r w:rsidR="00FB7648" w:rsidRPr="00BF5140">
        <w:rPr>
          <w:rFonts w:cstheme="minorHAnsi"/>
        </w:rPr>
        <w:t xml:space="preserve">existing state and territory legislation and regulation </w:t>
      </w:r>
      <w:r w:rsidR="00ED5C4A" w:rsidRPr="00BF5140">
        <w:rPr>
          <w:rFonts w:cstheme="minorHAnsi"/>
        </w:rPr>
        <w:t xml:space="preserve">for </w:t>
      </w:r>
      <w:r w:rsidR="00273C26" w:rsidRPr="00BF5140">
        <w:rPr>
          <w:rFonts w:cstheme="minorHAnsi"/>
        </w:rPr>
        <w:t xml:space="preserve">any barriers to injecting hydrogen </w:t>
      </w:r>
      <w:r w:rsidR="0097652F" w:rsidRPr="00BF5140">
        <w:rPr>
          <w:rFonts w:cstheme="minorHAnsi"/>
        </w:rPr>
        <w:t>into exi</w:t>
      </w:r>
      <w:r w:rsidR="000362FB" w:rsidRPr="00BF5140">
        <w:rPr>
          <w:rFonts w:cstheme="minorHAnsi"/>
        </w:rPr>
        <w:t>s</w:t>
      </w:r>
      <w:r w:rsidR="0097652F" w:rsidRPr="00BF5140">
        <w:rPr>
          <w:rFonts w:cstheme="minorHAnsi"/>
        </w:rPr>
        <w:t>ting gas networks</w:t>
      </w:r>
      <w:r w:rsidR="0097652F" w:rsidRPr="00BF5140">
        <w:rPr>
          <w:rStyle w:val="EndnoteReference"/>
          <w:rFonts w:cstheme="minorHAnsi"/>
        </w:rPr>
        <w:endnoteReference w:id="3"/>
      </w:r>
      <w:r w:rsidR="0097652F" w:rsidRPr="00BF5140">
        <w:rPr>
          <w:rFonts w:cstheme="minorHAnsi"/>
        </w:rPr>
        <w:t>.</w:t>
      </w:r>
      <w:r w:rsidR="000362FB" w:rsidRPr="00BF5140">
        <w:rPr>
          <w:rFonts w:cstheme="minorHAnsi"/>
        </w:rPr>
        <w:t xml:space="preserve"> </w:t>
      </w:r>
      <w:r w:rsidR="00213C06" w:rsidRPr="00BF5140">
        <w:rPr>
          <w:rFonts w:cstheme="minorHAnsi"/>
        </w:rPr>
        <w:t xml:space="preserve">In </w:t>
      </w:r>
      <w:r w:rsidR="0019549E" w:rsidRPr="00BF5140">
        <w:rPr>
          <w:rFonts w:cstheme="minorHAnsi"/>
        </w:rPr>
        <w:t>general,</w:t>
      </w:r>
      <w:r w:rsidR="00213C06" w:rsidRPr="00BF5140">
        <w:rPr>
          <w:rFonts w:cstheme="minorHAnsi"/>
        </w:rPr>
        <w:t xml:space="preserve"> they found </w:t>
      </w:r>
      <w:r w:rsidR="0033391D" w:rsidRPr="00BF5140">
        <w:rPr>
          <w:rFonts w:cstheme="minorHAnsi"/>
        </w:rPr>
        <w:t xml:space="preserve">that there were no hard barriers, i.e. prohibitions on </w:t>
      </w:r>
      <w:r w:rsidR="00C32E5A" w:rsidRPr="00BF5140">
        <w:rPr>
          <w:rFonts w:cstheme="minorHAnsi"/>
        </w:rPr>
        <w:t>doing so.</w:t>
      </w:r>
      <w:r w:rsidR="003478DA" w:rsidRPr="00BF5140">
        <w:rPr>
          <w:rFonts w:cstheme="minorHAnsi"/>
        </w:rPr>
        <w:t xml:space="preserve"> </w:t>
      </w:r>
      <w:r w:rsidR="0019549E" w:rsidRPr="00BF5140">
        <w:rPr>
          <w:rFonts w:cstheme="minorHAnsi"/>
        </w:rPr>
        <w:t>Typically,</w:t>
      </w:r>
      <w:r w:rsidR="003478DA" w:rsidRPr="00BF5140">
        <w:rPr>
          <w:rFonts w:cstheme="minorHAnsi"/>
        </w:rPr>
        <w:t xml:space="preserve"> this was because the issue of hydrogen injection was not specifically addressed</w:t>
      </w:r>
      <w:r w:rsidR="00381A4F" w:rsidRPr="00BF5140">
        <w:rPr>
          <w:rFonts w:cstheme="minorHAnsi"/>
        </w:rPr>
        <w:t>.</w:t>
      </w:r>
      <w:r w:rsidR="00C76CD8" w:rsidRPr="00BF5140">
        <w:rPr>
          <w:rFonts w:cstheme="minorHAnsi"/>
        </w:rPr>
        <w:t xml:space="preserve"> An area that may require further investigation is whether </w:t>
      </w:r>
      <w:r w:rsidR="00F961F0" w:rsidRPr="00BF5140">
        <w:rPr>
          <w:rFonts w:cstheme="minorHAnsi"/>
        </w:rPr>
        <w:t xml:space="preserve">the blended gas is </w:t>
      </w:r>
      <w:r w:rsidR="006E2E35" w:rsidRPr="00BF5140">
        <w:rPr>
          <w:rFonts w:cstheme="minorHAnsi"/>
        </w:rPr>
        <w:t>compliant</w:t>
      </w:r>
      <w:r w:rsidR="00F961F0" w:rsidRPr="00BF5140">
        <w:rPr>
          <w:rFonts w:cstheme="minorHAnsi"/>
        </w:rPr>
        <w:t xml:space="preserve"> with the standards set out in AS 4564-2011</w:t>
      </w:r>
      <w:r w:rsidR="00F961F0" w:rsidRPr="00BF5140">
        <w:rPr>
          <w:rFonts w:cstheme="minorHAnsi"/>
          <w:i/>
          <w:iCs/>
        </w:rPr>
        <w:t>, Specifications for general purpose natural gas</w:t>
      </w:r>
      <w:r w:rsidR="00F961F0" w:rsidRPr="00BF5140">
        <w:rPr>
          <w:rFonts w:cstheme="minorHAnsi"/>
        </w:rPr>
        <w:t>.</w:t>
      </w:r>
    </w:p>
    <w:p w14:paraId="0A10C43C" w14:textId="6ED20429" w:rsidR="00087A57" w:rsidRPr="00BF5140" w:rsidRDefault="00381A4F" w:rsidP="00D9340A">
      <w:pPr>
        <w:spacing w:after="120" w:line="340" w:lineRule="exact"/>
        <w:rPr>
          <w:rFonts w:cstheme="minorHAnsi"/>
        </w:rPr>
      </w:pPr>
      <w:r w:rsidRPr="00BF5140">
        <w:rPr>
          <w:rFonts w:cstheme="minorHAnsi"/>
        </w:rPr>
        <w:t xml:space="preserve">Some soft barriers were identified. </w:t>
      </w:r>
      <w:r w:rsidR="00FB254D" w:rsidRPr="00BF5140">
        <w:rPr>
          <w:rFonts w:cstheme="minorHAnsi"/>
        </w:rPr>
        <w:t xml:space="preserve">These usually stemmed from the fact </w:t>
      </w:r>
      <w:r w:rsidR="00B62214" w:rsidRPr="00BF5140">
        <w:rPr>
          <w:rFonts w:cstheme="minorHAnsi"/>
        </w:rPr>
        <w:t xml:space="preserve">that many legislative or regulatory </w:t>
      </w:r>
      <w:r w:rsidR="006E2E35" w:rsidRPr="00BF5140">
        <w:rPr>
          <w:rFonts w:cstheme="minorHAnsi"/>
        </w:rPr>
        <w:t>provisions</w:t>
      </w:r>
      <w:r w:rsidR="00B62214" w:rsidRPr="00BF5140">
        <w:rPr>
          <w:rFonts w:cstheme="minorHAnsi"/>
        </w:rPr>
        <w:t xml:space="preserve"> referred to “natural gas” and this </w:t>
      </w:r>
      <w:r w:rsidR="006E2E35" w:rsidRPr="00BF5140">
        <w:rPr>
          <w:rFonts w:cstheme="minorHAnsi"/>
        </w:rPr>
        <w:t>excluded</w:t>
      </w:r>
      <w:r w:rsidR="00B62214" w:rsidRPr="00BF5140">
        <w:rPr>
          <w:rFonts w:cstheme="minorHAnsi"/>
        </w:rPr>
        <w:t xml:space="preserve"> </w:t>
      </w:r>
      <w:r w:rsidR="006E2E35" w:rsidRPr="00BF5140">
        <w:rPr>
          <w:rFonts w:cstheme="minorHAnsi"/>
        </w:rPr>
        <w:t>manufactured</w:t>
      </w:r>
      <w:r w:rsidR="00B62214" w:rsidRPr="00BF5140">
        <w:rPr>
          <w:rFonts w:cstheme="minorHAnsi"/>
        </w:rPr>
        <w:t xml:space="preserve"> hydrogen.</w:t>
      </w:r>
      <w:r w:rsidR="00C86FD8" w:rsidRPr="00BF5140">
        <w:rPr>
          <w:rFonts w:cstheme="minorHAnsi"/>
        </w:rPr>
        <w:t xml:space="preserve"> The implications of this differ depending on </w:t>
      </w:r>
      <w:r w:rsidR="00C350E4" w:rsidRPr="00BF5140">
        <w:rPr>
          <w:rFonts w:cstheme="minorHAnsi"/>
        </w:rPr>
        <w:t xml:space="preserve">the stage of injection, i.e. </w:t>
      </w:r>
      <w:r w:rsidR="00AC4F0D" w:rsidRPr="00BF5140">
        <w:rPr>
          <w:rFonts w:cstheme="minorHAnsi"/>
        </w:rPr>
        <w:t>hydrogen blending or pure hydrogen. While the barriers are more significant for the latter the prospects for this are many years off (though see scenario C below)</w:t>
      </w:r>
      <w:r w:rsidR="00760537" w:rsidRPr="00BF5140">
        <w:rPr>
          <w:rFonts w:cstheme="minorHAnsi"/>
        </w:rPr>
        <w:t>.</w:t>
      </w:r>
    </w:p>
    <w:p w14:paraId="2E9DDA49" w14:textId="02FEAFC8" w:rsidR="00087A57" w:rsidRPr="00BF5140" w:rsidRDefault="00CF7820" w:rsidP="00D9340A">
      <w:pPr>
        <w:spacing w:after="120" w:line="340" w:lineRule="exact"/>
        <w:rPr>
          <w:rFonts w:cstheme="minorHAnsi"/>
        </w:rPr>
      </w:pPr>
      <w:r w:rsidRPr="00BF5140">
        <w:rPr>
          <w:rFonts w:cstheme="minorHAnsi"/>
        </w:rPr>
        <w:t xml:space="preserve">Participation in the facilitated markets </w:t>
      </w:r>
      <w:r w:rsidR="002D4A79" w:rsidRPr="00BF5140">
        <w:rPr>
          <w:rFonts w:cstheme="minorHAnsi"/>
        </w:rPr>
        <w:t xml:space="preserve">and the gas bulletin board is predicated on the commodity being traded </w:t>
      </w:r>
      <w:r w:rsidR="00827DC1" w:rsidRPr="00BF5140">
        <w:rPr>
          <w:rFonts w:cstheme="minorHAnsi"/>
        </w:rPr>
        <w:t xml:space="preserve">being natural gas. This could make it difficult to inject </w:t>
      </w:r>
      <w:r w:rsidR="005910BE" w:rsidRPr="00BF5140">
        <w:rPr>
          <w:rFonts w:cstheme="minorHAnsi"/>
        </w:rPr>
        <w:t>hydrogen into the transmission network</w:t>
      </w:r>
      <w:r w:rsidR="00F94BD0" w:rsidRPr="00BF5140">
        <w:rPr>
          <w:rFonts w:cstheme="minorHAnsi"/>
        </w:rPr>
        <w:t xml:space="preserve"> for delivery to customers the other side of the </w:t>
      </w:r>
      <w:r w:rsidR="00B13013" w:rsidRPr="00BF5140">
        <w:rPr>
          <w:rFonts w:cstheme="minorHAnsi"/>
        </w:rPr>
        <w:t>h</w:t>
      </w:r>
      <w:r w:rsidR="007B044C" w:rsidRPr="00BF5140">
        <w:rPr>
          <w:rFonts w:cstheme="minorHAnsi"/>
        </w:rPr>
        <w:t>ub</w:t>
      </w:r>
      <w:r w:rsidR="00F94BD0" w:rsidRPr="00BF5140">
        <w:rPr>
          <w:rFonts w:cstheme="minorHAnsi"/>
        </w:rPr>
        <w:t xml:space="preserve"> </w:t>
      </w:r>
      <w:r w:rsidR="00670675" w:rsidRPr="00BF5140">
        <w:rPr>
          <w:rFonts w:cstheme="minorHAnsi"/>
        </w:rPr>
        <w:t>(for the STTMs) or into the Victorian DWGM system</w:t>
      </w:r>
      <w:r w:rsidR="00F84A15" w:rsidRPr="00BF5140">
        <w:rPr>
          <w:rFonts w:cstheme="minorHAnsi"/>
        </w:rPr>
        <w:t xml:space="preserve">, as physical </w:t>
      </w:r>
      <w:r w:rsidR="00FC2451" w:rsidRPr="00BF5140">
        <w:rPr>
          <w:rFonts w:cstheme="minorHAnsi"/>
        </w:rPr>
        <w:t>transfers would</w:t>
      </w:r>
      <w:r w:rsidR="004D457D">
        <w:rPr>
          <w:rFonts w:cstheme="minorHAnsi"/>
        </w:rPr>
        <w:t xml:space="preserve"> be expected to</w:t>
      </w:r>
      <w:r w:rsidR="00FC2451" w:rsidRPr="00BF5140">
        <w:rPr>
          <w:rFonts w:cstheme="minorHAnsi"/>
        </w:rPr>
        <w:t xml:space="preserve"> have to be</w:t>
      </w:r>
      <w:r w:rsidR="004D457D">
        <w:rPr>
          <w:rFonts w:cstheme="minorHAnsi"/>
        </w:rPr>
        <w:t>en</w:t>
      </w:r>
      <w:r w:rsidR="00FC2451" w:rsidRPr="00BF5140">
        <w:rPr>
          <w:rFonts w:cstheme="minorHAnsi"/>
        </w:rPr>
        <w:t xml:space="preserve"> </w:t>
      </w:r>
      <w:r w:rsidR="0093622F" w:rsidRPr="00BF5140">
        <w:rPr>
          <w:rFonts w:cstheme="minorHAnsi"/>
        </w:rPr>
        <w:t>bought and sold</w:t>
      </w:r>
      <w:r w:rsidR="00540328" w:rsidRPr="00BF5140">
        <w:rPr>
          <w:rFonts w:cstheme="minorHAnsi"/>
        </w:rPr>
        <w:t xml:space="preserve"> in the relevant market.</w:t>
      </w:r>
    </w:p>
    <w:p w14:paraId="566EA39C" w14:textId="62AD6CE2" w:rsidR="005F52EE" w:rsidRPr="00BF5140" w:rsidRDefault="005F52EE" w:rsidP="00D9340A">
      <w:pPr>
        <w:spacing w:after="120" w:line="340" w:lineRule="exact"/>
        <w:rPr>
          <w:rFonts w:cstheme="minorHAnsi"/>
        </w:rPr>
      </w:pPr>
      <w:r w:rsidRPr="00BF5140">
        <w:rPr>
          <w:rFonts w:cstheme="minorHAnsi"/>
        </w:rPr>
        <w:t xml:space="preserve">In the short term, trials of </w:t>
      </w:r>
      <w:r w:rsidR="00EA282D" w:rsidRPr="00BF5140">
        <w:rPr>
          <w:rFonts w:cstheme="minorHAnsi"/>
        </w:rPr>
        <w:t>hydrogen blending are expected</w:t>
      </w:r>
      <w:r w:rsidR="005434E9" w:rsidRPr="00BF5140">
        <w:rPr>
          <w:rFonts w:cstheme="minorHAnsi"/>
        </w:rPr>
        <w:t xml:space="preserve"> </w:t>
      </w:r>
      <w:r w:rsidR="00EA282D" w:rsidRPr="00BF5140">
        <w:rPr>
          <w:rFonts w:cstheme="minorHAnsi"/>
        </w:rPr>
        <w:t xml:space="preserve">to take place downstream of </w:t>
      </w:r>
      <w:r w:rsidR="005434E9" w:rsidRPr="00BF5140">
        <w:rPr>
          <w:rFonts w:cstheme="minorHAnsi"/>
        </w:rPr>
        <w:t xml:space="preserve">the </w:t>
      </w:r>
      <w:r w:rsidR="007B044C" w:rsidRPr="00BF5140">
        <w:rPr>
          <w:rFonts w:cstheme="minorHAnsi"/>
        </w:rPr>
        <w:t xml:space="preserve">hub </w:t>
      </w:r>
      <w:r w:rsidR="005434E9" w:rsidRPr="00BF5140">
        <w:rPr>
          <w:rFonts w:cstheme="minorHAnsi"/>
        </w:rPr>
        <w:t>points via injection at the distribution network level</w:t>
      </w:r>
      <w:r w:rsidR="004B3659" w:rsidRPr="00BF5140">
        <w:rPr>
          <w:rFonts w:cstheme="minorHAnsi"/>
        </w:rPr>
        <w:t>, which will avoid these issues.</w:t>
      </w:r>
    </w:p>
    <w:p w14:paraId="32371117" w14:textId="01F54065" w:rsidR="009960DE" w:rsidRPr="00BF5140" w:rsidRDefault="00B92451" w:rsidP="00D9340A">
      <w:pPr>
        <w:spacing w:after="120" w:line="340" w:lineRule="exact"/>
        <w:rPr>
          <w:rFonts w:cstheme="minorHAnsi"/>
        </w:rPr>
      </w:pPr>
      <w:r w:rsidRPr="00BF5140">
        <w:rPr>
          <w:rFonts w:cstheme="minorHAnsi"/>
        </w:rPr>
        <w:t>A pure hydrogen network</w:t>
      </w:r>
      <w:r w:rsidR="00AF7E1A" w:rsidRPr="00BF5140">
        <w:rPr>
          <w:rFonts w:cstheme="minorHAnsi"/>
        </w:rPr>
        <w:t xml:space="preserve"> appears unlikely to </w:t>
      </w:r>
      <w:r w:rsidR="00571E18" w:rsidRPr="00BF5140">
        <w:rPr>
          <w:rFonts w:cstheme="minorHAnsi"/>
        </w:rPr>
        <w:t>be covere</w:t>
      </w:r>
      <w:r w:rsidR="0085502D" w:rsidRPr="00BF5140">
        <w:rPr>
          <w:rFonts w:cstheme="minorHAnsi"/>
        </w:rPr>
        <w:t>d</w:t>
      </w:r>
      <w:r w:rsidR="00571E18" w:rsidRPr="00BF5140">
        <w:rPr>
          <w:rFonts w:cstheme="minorHAnsi"/>
        </w:rPr>
        <w:t xml:space="preserve"> by various state and territory acts that facilitate the operation of </w:t>
      </w:r>
      <w:r w:rsidR="00663C45" w:rsidRPr="00BF5140">
        <w:rPr>
          <w:rFonts w:cstheme="minorHAnsi"/>
        </w:rPr>
        <w:t xml:space="preserve">a reticulated gas network serving the general public, and </w:t>
      </w:r>
      <w:proofErr w:type="gramStart"/>
      <w:r w:rsidR="00663C45" w:rsidRPr="00BF5140">
        <w:rPr>
          <w:rFonts w:cstheme="minorHAnsi"/>
        </w:rPr>
        <w:t>where by</w:t>
      </w:r>
      <w:proofErr w:type="gramEnd"/>
      <w:r w:rsidR="00663C45" w:rsidRPr="00BF5140">
        <w:rPr>
          <w:rFonts w:cstheme="minorHAnsi"/>
        </w:rPr>
        <w:t xml:space="preserve"> necessity parts of the network pass </w:t>
      </w:r>
      <w:r w:rsidR="004D592E" w:rsidRPr="00BF5140">
        <w:rPr>
          <w:rFonts w:cstheme="minorHAnsi"/>
        </w:rPr>
        <w:t>under private land or property.</w:t>
      </w:r>
      <w:r w:rsidR="00277A2E" w:rsidRPr="00BF5140">
        <w:rPr>
          <w:rFonts w:cstheme="minorHAnsi"/>
        </w:rPr>
        <w:t xml:space="preserve"> These </w:t>
      </w:r>
      <w:r w:rsidR="0085678A" w:rsidRPr="00BF5140">
        <w:rPr>
          <w:rFonts w:cstheme="minorHAnsi"/>
        </w:rPr>
        <w:t xml:space="preserve">may include loss of ownership of </w:t>
      </w:r>
      <w:r w:rsidR="006E2E35" w:rsidRPr="00BF5140">
        <w:rPr>
          <w:rFonts w:cstheme="minorHAnsi"/>
        </w:rPr>
        <w:t>pipelines</w:t>
      </w:r>
      <w:r w:rsidR="0085678A" w:rsidRPr="00BF5140">
        <w:rPr>
          <w:rFonts w:cstheme="minorHAnsi"/>
        </w:rPr>
        <w:t xml:space="preserve"> under another </w:t>
      </w:r>
      <w:r w:rsidR="006D42CC" w:rsidRPr="00BF5140">
        <w:rPr>
          <w:rFonts w:cstheme="minorHAnsi"/>
        </w:rPr>
        <w:t>party’s</w:t>
      </w:r>
      <w:r w:rsidR="0085678A" w:rsidRPr="00BF5140">
        <w:rPr>
          <w:rFonts w:cstheme="minorHAnsi"/>
        </w:rPr>
        <w:t xml:space="preserve"> land, the ability </w:t>
      </w:r>
      <w:r w:rsidR="0066640E" w:rsidRPr="00BF5140">
        <w:rPr>
          <w:rFonts w:cstheme="minorHAnsi"/>
        </w:rPr>
        <w:t xml:space="preserve">to enter land </w:t>
      </w:r>
      <w:r w:rsidR="002D3DA7" w:rsidRPr="00BF5140">
        <w:rPr>
          <w:rFonts w:cstheme="minorHAnsi"/>
        </w:rPr>
        <w:t xml:space="preserve">or occupy </w:t>
      </w:r>
      <w:r w:rsidR="00967779" w:rsidRPr="00BF5140">
        <w:rPr>
          <w:rFonts w:cstheme="minorHAnsi"/>
        </w:rPr>
        <w:t xml:space="preserve">public </w:t>
      </w:r>
      <w:r w:rsidR="002D3DA7" w:rsidRPr="00BF5140">
        <w:rPr>
          <w:rFonts w:cstheme="minorHAnsi"/>
        </w:rPr>
        <w:t>road</w:t>
      </w:r>
      <w:r w:rsidR="00967779" w:rsidRPr="00BF5140">
        <w:rPr>
          <w:rFonts w:cstheme="minorHAnsi"/>
        </w:rPr>
        <w:t xml:space="preserve">s </w:t>
      </w:r>
      <w:r w:rsidR="0066640E" w:rsidRPr="00BF5140">
        <w:rPr>
          <w:rFonts w:cstheme="minorHAnsi"/>
        </w:rPr>
        <w:t>to carry out maintenance</w:t>
      </w:r>
      <w:r w:rsidR="00F35B80" w:rsidRPr="00BF5140">
        <w:rPr>
          <w:rFonts w:cstheme="minorHAnsi"/>
        </w:rPr>
        <w:t xml:space="preserve">, </w:t>
      </w:r>
      <w:r w:rsidR="00BA1B10" w:rsidRPr="00BF5140">
        <w:rPr>
          <w:rFonts w:cstheme="minorHAnsi"/>
        </w:rPr>
        <w:t xml:space="preserve">the ability to enter premises to read meters, </w:t>
      </w:r>
      <w:r w:rsidR="00C31215" w:rsidRPr="00BF5140">
        <w:rPr>
          <w:rFonts w:cstheme="minorHAnsi"/>
        </w:rPr>
        <w:t xml:space="preserve">various safety prohibitions to protect the </w:t>
      </w:r>
      <w:r w:rsidR="006D42CC" w:rsidRPr="00BF5140">
        <w:rPr>
          <w:rFonts w:cstheme="minorHAnsi"/>
        </w:rPr>
        <w:t>gas</w:t>
      </w:r>
      <w:r w:rsidR="00C31215" w:rsidRPr="00BF5140">
        <w:rPr>
          <w:rFonts w:cstheme="minorHAnsi"/>
        </w:rPr>
        <w:t xml:space="preserve"> network from damage from excavation</w:t>
      </w:r>
      <w:r w:rsidR="00A9622F" w:rsidRPr="00BF5140">
        <w:rPr>
          <w:rFonts w:cstheme="minorHAnsi"/>
        </w:rPr>
        <w:t xml:space="preserve"> and other risks</w:t>
      </w:r>
      <w:r w:rsidR="00F425E8" w:rsidRPr="00BF5140">
        <w:rPr>
          <w:rFonts w:cstheme="minorHAnsi"/>
        </w:rPr>
        <w:t>, prohibitions against unauthorised connections and so on</w:t>
      </w:r>
      <w:r w:rsidR="00DE1CBB" w:rsidRPr="00BF5140">
        <w:rPr>
          <w:rFonts w:cstheme="minorHAnsi"/>
        </w:rPr>
        <w:t>. In short</w:t>
      </w:r>
      <w:r w:rsidR="00EF6257" w:rsidRPr="00BF5140">
        <w:rPr>
          <w:rFonts w:cstheme="minorHAnsi"/>
        </w:rPr>
        <w:t xml:space="preserve">, it is not </w:t>
      </w:r>
      <w:proofErr w:type="gramStart"/>
      <w:r w:rsidR="00EF6257" w:rsidRPr="00BF5140">
        <w:rPr>
          <w:rFonts w:cstheme="minorHAnsi"/>
        </w:rPr>
        <w:t>really practical</w:t>
      </w:r>
      <w:proofErr w:type="gramEnd"/>
      <w:r w:rsidR="00EF6257" w:rsidRPr="00BF5140">
        <w:rPr>
          <w:rFonts w:cstheme="minorHAnsi"/>
        </w:rPr>
        <w:t xml:space="preserve"> to</w:t>
      </w:r>
      <w:r w:rsidR="00E9535B" w:rsidRPr="00BF5140">
        <w:rPr>
          <w:rFonts w:cstheme="minorHAnsi"/>
        </w:rPr>
        <w:t xml:space="preserve"> own and operate a pure hydrogen network in </w:t>
      </w:r>
      <w:r w:rsidR="002B7514" w:rsidRPr="00BF5140">
        <w:rPr>
          <w:rFonts w:cstheme="minorHAnsi"/>
        </w:rPr>
        <w:t>the absence of these regulations.</w:t>
      </w:r>
    </w:p>
    <w:p w14:paraId="7E6AAB0E" w14:textId="67A1711A" w:rsidR="00DE1CBB" w:rsidRPr="00BF5140" w:rsidRDefault="00701834" w:rsidP="00D9340A">
      <w:pPr>
        <w:spacing w:after="120" w:line="340" w:lineRule="exact"/>
        <w:rPr>
          <w:rFonts w:cstheme="minorHAnsi"/>
        </w:rPr>
      </w:pPr>
      <w:r w:rsidRPr="00BF5140">
        <w:rPr>
          <w:rFonts w:cstheme="minorHAnsi"/>
        </w:rPr>
        <w:t>In most of these cases, the simplest</w:t>
      </w:r>
      <w:r w:rsidR="00DE1CBB" w:rsidRPr="00BF5140">
        <w:rPr>
          <w:rFonts w:cstheme="minorHAnsi"/>
        </w:rPr>
        <w:t xml:space="preserve"> regulatory solution to these issues </w:t>
      </w:r>
      <w:r w:rsidR="002B7514" w:rsidRPr="00BF5140">
        <w:rPr>
          <w:rFonts w:cstheme="minorHAnsi"/>
        </w:rPr>
        <w:t>is</w:t>
      </w:r>
      <w:r w:rsidR="00132EF6" w:rsidRPr="00BF5140">
        <w:rPr>
          <w:rFonts w:cstheme="minorHAnsi"/>
        </w:rPr>
        <w:t xml:space="preserve"> a regulatory instrument </w:t>
      </w:r>
      <w:r w:rsidR="00CE2C76" w:rsidRPr="00BF5140">
        <w:rPr>
          <w:rFonts w:cstheme="minorHAnsi"/>
        </w:rPr>
        <w:t>prescribing</w:t>
      </w:r>
      <w:r w:rsidR="00132EF6" w:rsidRPr="00BF5140">
        <w:rPr>
          <w:rFonts w:cstheme="minorHAnsi"/>
        </w:rPr>
        <w:t xml:space="preserve"> hydrogen as a </w:t>
      </w:r>
      <w:r w:rsidR="00B90B35" w:rsidRPr="00BF5140">
        <w:rPr>
          <w:rFonts w:cstheme="minorHAnsi"/>
        </w:rPr>
        <w:t>“</w:t>
      </w:r>
      <w:r w:rsidR="00132EF6" w:rsidRPr="00BF5140">
        <w:rPr>
          <w:rFonts w:cstheme="minorHAnsi"/>
        </w:rPr>
        <w:t>gas</w:t>
      </w:r>
      <w:r w:rsidR="00B90B35" w:rsidRPr="00BF5140">
        <w:rPr>
          <w:rFonts w:cstheme="minorHAnsi"/>
        </w:rPr>
        <w:t>”</w:t>
      </w:r>
      <w:r w:rsidR="00132EF6" w:rsidRPr="00BF5140">
        <w:rPr>
          <w:rFonts w:cstheme="minorHAnsi"/>
        </w:rPr>
        <w:t xml:space="preserve"> </w:t>
      </w:r>
      <w:r w:rsidR="00B90B35" w:rsidRPr="00BF5140">
        <w:rPr>
          <w:rFonts w:cstheme="minorHAnsi"/>
        </w:rPr>
        <w:t>for the purposes of the relevant Acts.</w:t>
      </w:r>
    </w:p>
    <w:p w14:paraId="78C6E4F1" w14:textId="17A78FDB" w:rsidR="004E2149" w:rsidRPr="00BF5140" w:rsidRDefault="00006287" w:rsidP="00D9340A">
      <w:pPr>
        <w:spacing w:after="120" w:line="340" w:lineRule="exact"/>
        <w:rPr>
          <w:rFonts w:cstheme="minorHAnsi"/>
        </w:rPr>
      </w:pPr>
      <w:r w:rsidRPr="00BF5140">
        <w:rPr>
          <w:rFonts w:cstheme="minorHAnsi"/>
        </w:rPr>
        <w:t xml:space="preserve">Naturally, this area is a </w:t>
      </w:r>
      <w:r w:rsidR="004E2149" w:rsidRPr="00BF5140">
        <w:rPr>
          <w:rFonts w:cstheme="minorHAnsi"/>
        </w:rPr>
        <w:t xml:space="preserve">key focus of </w:t>
      </w:r>
      <w:r w:rsidR="00B46D05" w:rsidRPr="00BF5140">
        <w:rPr>
          <w:rFonts w:cstheme="minorHAnsi"/>
        </w:rPr>
        <w:t>the several gas distribution businesses that are engaged in hydrogen blending trials</w:t>
      </w:r>
      <w:r w:rsidR="002E3EAD" w:rsidRPr="00BF5140">
        <w:rPr>
          <w:rFonts w:cstheme="minorHAnsi"/>
        </w:rPr>
        <w:t xml:space="preserve"> as well as the relevant industry associations (</w:t>
      </w:r>
      <w:r w:rsidR="004E2149" w:rsidRPr="00BF5140">
        <w:rPr>
          <w:rFonts w:cstheme="minorHAnsi"/>
        </w:rPr>
        <w:t>ENA and APGA</w:t>
      </w:r>
      <w:r w:rsidR="002E3EAD" w:rsidRPr="00BF5140">
        <w:rPr>
          <w:rFonts w:cstheme="minorHAnsi"/>
        </w:rPr>
        <w:t xml:space="preserve">). From an advocacy priority </w:t>
      </w:r>
      <w:r w:rsidR="008D0D55" w:rsidRPr="00BF5140">
        <w:rPr>
          <w:rFonts w:cstheme="minorHAnsi"/>
        </w:rPr>
        <w:t>perspective,</w:t>
      </w:r>
      <w:r w:rsidR="002E3EAD" w:rsidRPr="00BF5140">
        <w:rPr>
          <w:rFonts w:cstheme="minorHAnsi"/>
        </w:rPr>
        <w:t xml:space="preserve"> it makes sense for them to lead, with general support from other hydrogen proponents</w:t>
      </w:r>
      <w:r w:rsidR="00747629" w:rsidRPr="00BF5140">
        <w:rPr>
          <w:rFonts w:cstheme="minorHAnsi"/>
        </w:rPr>
        <w:t>.</w:t>
      </w:r>
    </w:p>
    <w:p w14:paraId="5175C452" w14:textId="77777777" w:rsidR="000F249C" w:rsidRPr="00BF5140" w:rsidRDefault="003053FB"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lastRenderedPageBreak/>
        <w:t>Scenario B: Gas as a feedstock for hydrogen production</w:t>
      </w:r>
      <w:bookmarkStart w:id="1" w:name="_Hlk36552801"/>
      <w:r w:rsidR="000F249C" w:rsidRPr="00BF5140">
        <w:rPr>
          <w:rFonts w:asciiTheme="minorHAnsi" w:hAnsiTheme="minorHAnsi" w:cstheme="minorHAnsi"/>
          <w:sz w:val="22"/>
          <w:szCs w:val="22"/>
        </w:rPr>
        <w:t xml:space="preserve"> </w:t>
      </w:r>
    </w:p>
    <w:p w14:paraId="53FC4EAE" w14:textId="461E5CC0" w:rsidR="00305B19" w:rsidRPr="00BF5140" w:rsidRDefault="008E780D" w:rsidP="00D9340A">
      <w:pPr>
        <w:spacing w:after="120" w:line="340" w:lineRule="exact"/>
        <w:rPr>
          <w:rFonts w:cstheme="minorHAnsi"/>
        </w:rPr>
      </w:pPr>
      <w:r w:rsidRPr="00BF5140">
        <w:rPr>
          <w:rFonts w:cstheme="minorHAnsi"/>
        </w:rPr>
        <w:t xml:space="preserve">Currently the major hydrogen production method in use globally is </w:t>
      </w:r>
      <w:r w:rsidR="00D765DE" w:rsidRPr="00BF5140">
        <w:rPr>
          <w:rFonts w:cstheme="minorHAnsi"/>
        </w:rPr>
        <w:t>s</w:t>
      </w:r>
      <w:r w:rsidR="000F249C" w:rsidRPr="00BF5140">
        <w:rPr>
          <w:rFonts w:cstheme="minorHAnsi"/>
        </w:rPr>
        <w:t xml:space="preserve">team methane reforming </w:t>
      </w:r>
      <w:bookmarkEnd w:id="1"/>
      <w:r w:rsidR="000F249C" w:rsidRPr="00BF5140">
        <w:rPr>
          <w:rFonts w:cstheme="minorHAnsi"/>
        </w:rPr>
        <w:t xml:space="preserve">– i.e. where natural gas is a feedstock. </w:t>
      </w:r>
      <w:r w:rsidR="00FE50E3" w:rsidRPr="00BF5140">
        <w:rPr>
          <w:rFonts w:cstheme="minorHAnsi"/>
        </w:rPr>
        <w:t>Given</w:t>
      </w:r>
      <w:r w:rsidR="0097194E" w:rsidRPr="00BF5140">
        <w:rPr>
          <w:rFonts w:cstheme="minorHAnsi"/>
        </w:rPr>
        <w:t xml:space="preserve"> this is analogous to existing industrial uses </w:t>
      </w:r>
      <w:r w:rsidR="00481C61" w:rsidRPr="00BF5140">
        <w:rPr>
          <w:rFonts w:cstheme="minorHAnsi"/>
        </w:rPr>
        <w:t xml:space="preserve">of gas there is are no obvious hard or </w:t>
      </w:r>
      <w:r w:rsidR="009119A3" w:rsidRPr="00BF5140">
        <w:rPr>
          <w:rFonts w:cstheme="minorHAnsi"/>
        </w:rPr>
        <w:t xml:space="preserve">material </w:t>
      </w:r>
      <w:r w:rsidR="00481C61" w:rsidRPr="00BF5140">
        <w:rPr>
          <w:rFonts w:cstheme="minorHAnsi"/>
        </w:rPr>
        <w:t>soft barriers. Any</w:t>
      </w:r>
      <w:r w:rsidR="009119A3" w:rsidRPr="00BF5140">
        <w:rPr>
          <w:rFonts w:cstheme="minorHAnsi"/>
        </w:rPr>
        <w:t xml:space="preserve"> soft barriers that </w:t>
      </w:r>
      <w:r w:rsidR="004D112A" w:rsidRPr="00BF5140">
        <w:rPr>
          <w:rFonts w:cstheme="minorHAnsi"/>
        </w:rPr>
        <w:t>m</w:t>
      </w:r>
      <w:r w:rsidR="009119A3" w:rsidRPr="00BF5140">
        <w:rPr>
          <w:rFonts w:cstheme="minorHAnsi"/>
        </w:rPr>
        <w:t>ay be attributed are generic to those facing gas users more generally</w:t>
      </w:r>
      <w:r w:rsidR="00305B19" w:rsidRPr="00BF5140">
        <w:rPr>
          <w:rFonts w:cstheme="minorHAnsi"/>
        </w:rPr>
        <w:t>, such as the following:</w:t>
      </w:r>
    </w:p>
    <w:p w14:paraId="0D8C43F1" w14:textId="434F4AFB" w:rsidR="000F249C" w:rsidRPr="00BF5140" w:rsidRDefault="000F249C" w:rsidP="00D9340A">
      <w:pPr>
        <w:pStyle w:val="ListParagraph"/>
        <w:numPr>
          <w:ilvl w:val="0"/>
          <w:numId w:val="2"/>
        </w:numPr>
        <w:spacing w:after="120" w:line="340" w:lineRule="exact"/>
        <w:contextualSpacing w:val="0"/>
        <w:rPr>
          <w:rFonts w:cstheme="minorHAnsi"/>
        </w:rPr>
      </w:pPr>
      <w:r w:rsidRPr="00BF5140">
        <w:rPr>
          <w:rFonts w:cstheme="minorHAnsi"/>
        </w:rPr>
        <w:t xml:space="preserve">Facilitated market design may influence decisions re location. </w:t>
      </w:r>
    </w:p>
    <w:p w14:paraId="59171DD6" w14:textId="3D0B7A4C" w:rsidR="000F249C" w:rsidRPr="00BF5140" w:rsidRDefault="000F249C" w:rsidP="00D9340A">
      <w:pPr>
        <w:pStyle w:val="ListParagraph"/>
        <w:numPr>
          <w:ilvl w:val="0"/>
          <w:numId w:val="2"/>
        </w:numPr>
        <w:spacing w:after="120" w:line="340" w:lineRule="exact"/>
        <w:contextualSpacing w:val="0"/>
        <w:rPr>
          <w:rFonts w:cstheme="minorHAnsi"/>
        </w:rPr>
      </w:pPr>
      <w:r w:rsidRPr="00BF5140">
        <w:rPr>
          <w:rFonts w:cstheme="minorHAnsi"/>
        </w:rPr>
        <w:t>Accessing gas from existing pipelines can be challenging</w:t>
      </w:r>
      <w:r w:rsidR="00903A65" w:rsidRPr="00BF5140">
        <w:rPr>
          <w:rFonts w:cstheme="minorHAnsi"/>
        </w:rPr>
        <w:t>.</w:t>
      </w:r>
      <w:r w:rsidRPr="00BF5140">
        <w:rPr>
          <w:rFonts w:cstheme="minorHAnsi"/>
        </w:rPr>
        <w:t xml:space="preserve"> </w:t>
      </w:r>
      <w:r w:rsidR="00903A65" w:rsidRPr="00BF5140">
        <w:rPr>
          <w:rFonts w:cstheme="minorHAnsi"/>
        </w:rPr>
        <w:t>C</w:t>
      </w:r>
      <w:r w:rsidR="009119A3" w:rsidRPr="00BF5140">
        <w:rPr>
          <w:rFonts w:cstheme="minorHAnsi"/>
        </w:rPr>
        <w:t>onversely</w:t>
      </w:r>
      <w:r w:rsidRPr="00BF5140">
        <w:rPr>
          <w:rFonts w:cstheme="minorHAnsi"/>
        </w:rPr>
        <w:t xml:space="preserve"> if you’re a foundation customer </w:t>
      </w:r>
      <w:r w:rsidR="009119A3" w:rsidRPr="00BF5140">
        <w:rPr>
          <w:rFonts w:cstheme="minorHAnsi"/>
        </w:rPr>
        <w:t xml:space="preserve">for a new pipeline </w:t>
      </w:r>
      <w:r w:rsidRPr="00BF5140">
        <w:rPr>
          <w:rFonts w:cstheme="minorHAnsi"/>
        </w:rPr>
        <w:t xml:space="preserve">you </w:t>
      </w:r>
      <w:r w:rsidR="009119A3" w:rsidRPr="00BF5140">
        <w:rPr>
          <w:rFonts w:cstheme="minorHAnsi"/>
        </w:rPr>
        <w:t>can secure</w:t>
      </w:r>
      <w:r w:rsidRPr="00BF5140">
        <w:rPr>
          <w:rFonts w:cstheme="minorHAnsi"/>
        </w:rPr>
        <w:t xml:space="preserve"> firm access</w:t>
      </w:r>
      <w:r w:rsidR="00C93034" w:rsidRPr="00BF5140">
        <w:rPr>
          <w:rFonts w:cstheme="minorHAnsi"/>
        </w:rPr>
        <w:t xml:space="preserve"> (subject to </w:t>
      </w:r>
      <w:r w:rsidR="00C93034" w:rsidRPr="00BF5140">
        <w:rPr>
          <w:rFonts w:cstheme="minorHAnsi"/>
          <w:i/>
          <w:iCs/>
        </w:rPr>
        <w:t>Force majeure</w:t>
      </w:r>
      <w:r w:rsidRPr="00BF5140">
        <w:rPr>
          <w:rFonts w:cstheme="minorHAnsi"/>
        </w:rPr>
        <w:t>).</w:t>
      </w:r>
    </w:p>
    <w:p w14:paraId="66E077CD" w14:textId="2FF7FE77" w:rsidR="000F249C" w:rsidRPr="00BF5140" w:rsidRDefault="000F249C" w:rsidP="00D9340A">
      <w:pPr>
        <w:pStyle w:val="ListParagraph"/>
        <w:numPr>
          <w:ilvl w:val="0"/>
          <w:numId w:val="2"/>
        </w:numPr>
        <w:spacing w:after="120" w:line="340" w:lineRule="exact"/>
        <w:contextualSpacing w:val="0"/>
        <w:rPr>
          <w:rFonts w:cstheme="minorHAnsi"/>
        </w:rPr>
      </w:pPr>
      <w:r w:rsidRPr="00BF5140">
        <w:rPr>
          <w:rFonts w:cstheme="minorHAnsi"/>
        </w:rPr>
        <w:t xml:space="preserve">Export market now dominates </w:t>
      </w:r>
      <w:r w:rsidR="00305B19" w:rsidRPr="00BF5140">
        <w:rPr>
          <w:rFonts w:cstheme="minorHAnsi"/>
        </w:rPr>
        <w:t xml:space="preserve">market </w:t>
      </w:r>
      <w:r w:rsidRPr="00BF5140">
        <w:rPr>
          <w:rFonts w:cstheme="minorHAnsi"/>
        </w:rPr>
        <w:t>outcome</w:t>
      </w:r>
      <w:r w:rsidR="00305B19" w:rsidRPr="00BF5140">
        <w:rPr>
          <w:rFonts w:cstheme="minorHAnsi"/>
        </w:rPr>
        <w:t>s</w:t>
      </w:r>
      <w:r w:rsidRPr="00BF5140">
        <w:rPr>
          <w:rFonts w:cstheme="minorHAnsi"/>
        </w:rPr>
        <w:t>.</w:t>
      </w:r>
    </w:p>
    <w:p w14:paraId="7A36BF36" w14:textId="4B13013A" w:rsidR="003053FB" w:rsidRPr="00BF5140" w:rsidRDefault="004807AD" w:rsidP="00D9340A">
      <w:pPr>
        <w:spacing w:after="120" w:line="340" w:lineRule="exact"/>
        <w:rPr>
          <w:rFonts w:cstheme="minorHAnsi"/>
        </w:rPr>
      </w:pPr>
      <w:r w:rsidRPr="00BF5140">
        <w:rPr>
          <w:rFonts w:cstheme="minorHAnsi"/>
        </w:rPr>
        <w:t xml:space="preserve">SMR is not considered </w:t>
      </w:r>
      <w:r w:rsidR="0035525C" w:rsidRPr="00BF5140">
        <w:rPr>
          <w:rFonts w:cstheme="minorHAnsi"/>
        </w:rPr>
        <w:t>to be a major source of future hydrogen</w:t>
      </w:r>
      <w:r w:rsidR="00EC67F4" w:rsidRPr="00BF5140">
        <w:rPr>
          <w:rFonts w:cstheme="minorHAnsi"/>
        </w:rPr>
        <w:t xml:space="preserve">, notwithstanding a large </w:t>
      </w:r>
      <w:r w:rsidR="004D112A" w:rsidRPr="00BF5140">
        <w:rPr>
          <w:rFonts w:cstheme="minorHAnsi"/>
        </w:rPr>
        <w:t xml:space="preserve">pilot </w:t>
      </w:r>
      <w:r w:rsidR="00EC67F4" w:rsidRPr="00BF5140">
        <w:rPr>
          <w:rFonts w:cstheme="minorHAnsi"/>
        </w:rPr>
        <w:t xml:space="preserve">project under way in </w:t>
      </w:r>
      <w:r w:rsidR="00E4227D" w:rsidRPr="00BF5140">
        <w:rPr>
          <w:rFonts w:cstheme="minorHAnsi"/>
        </w:rPr>
        <w:t>V</w:t>
      </w:r>
      <w:r w:rsidR="00EC67F4" w:rsidRPr="00BF5140">
        <w:rPr>
          <w:rFonts w:cstheme="minorHAnsi"/>
        </w:rPr>
        <w:t>ictoria</w:t>
      </w:r>
      <w:r w:rsidR="00FC51FC" w:rsidRPr="00BF5140">
        <w:rPr>
          <w:rFonts w:cstheme="minorHAnsi"/>
        </w:rPr>
        <w:t xml:space="preserve">, </w:t>
      </w:r>
      <w:r w:rsidR="004D112A" w:rsidRPr="00BF5140">
        <w:rPr>
          <w:rFonts w:cstheme="minorHAnsi"/>
        </w:rPr>
        <w:t>the Hydrogen Energy Supply chain</w:t>
      </w:r>
      <w:r w:rsidR="00E415E7" w:rsidRPr="00BF5140">
        <w:rPr>
          <w:rFonts w:cstheme="minorHAnsi"/>
        </w:rPr>
        <w:t xml:space="preserve"> (this uses </w:t>
      </w:r>
      <w:proofErr w:type="spellStart"/>
      <w:r w:rsidR="00E415E7" w:rsidRPr="00BF5140">
        <w:rPr>
          <w:rFonts w:cstheme="minorHAnsi"/>
        </w:rPr>
        <w:t>gasified</w:t>
      </w:r>
      <w:proofErr w:type="spellEnd"/>
      <w:r w:rsidR="00E415E7" w:rsidRPr="00BF5140">
        <w:rPr>
          <w:rFonts w:cstheme="minorHAnsi"/>
        </w:rPr>
        <w:t xml:space="preserve"> brown coa</w:t>
      </w:r>
      <w:r w:rsidR="004A546A" w:rsidRPr="00BF5140">
        <w:rPr>
          <w:rFonts w:cstheme="minorHAnsi"/>
        </w:rPr>
        <w:t>l</w:t>
      </w:r>
      <w:r w:rsidR="00E415E7" w:rsidRPr="00BF5140">
        <w:rPr>
          <w:rFonts w:cstheme="minorHAnsi"/>
        </w:rPr>
        <w:t xml:space="preserve"> from the Latrobe Valley)</w:t>
      </w:r>
      <w:r w:rsidR="004D112A" w:rsidRPr="00BF5140">
        <w:rPr>
          <w:rFonts w:cstheme="minorHAnsi"/>
        </w:rPr>
        <w:t>.</w:t>
      </w:r>
      <w:r w:rsidR="00E415E7" w:rsidRPr="00BF5140">
        <w:rPr>
          <w:rFonts w:cstheme="minorHAnsi"/>
        </w:rPr>
        <w:t xml:space="preserve"> One of the reasons</w:t>
      </w:r>
      <w:r w:rsidR="00250B08" w:rsidRPr="00BF5140">
        <w:rPr>
          <w:rFonts w:cstheme="minorHAnsi"/>
        </w:rPr>
        <w:t xml:space="preserve"> for </w:t>
      </w:r>
      <w:r w:rsidR="004A546A" w:rsidRPr="00BF5140">
        <w:rPr>
          <w:rFonts w:cstheme="minorHAnsi"/>
        </w:rPr>
        <w:t>low growth expectations for SMR processes</w:t>
      </w:r>
      <w:r w:rsidR="00F86624" w:rsidRPr="00BF5140">
        <w:rPr>
          <w:rFonts w:cstheme="minorHAnsi"/>
        </w:rPr>
        <w:t xml:space="preserve"> </w:t>
      </w:r>
      <w:r w:rsidR="004A546A" w:rsidRPr="00BF5140">
        <w:rPr>
          <w:rFonts w:cstheme="minorHAnsi"/>
        </w:rPr>
        <w:t>is</w:t>
      </w:r>
      <w:r w:rsidR="00FC51FC" w:rsidRPr="00BF5140">
        <w:rPr>
          <w:rFonts w:cstheme="minorHAnsi"/>
        </w:rPr>
        <w:t xml:space="preserve"> its carbon emissions. These could be addressed through Carbon capture and storage</w:t>
      </w:r>
      <w:r w:rsidR="004A546A" w:rsidRPr="00BF5140">
        <w:rPr>
          <w:rFonts w:cstheme="minorHAnsi"/>
        </w:rPr>
        <w:t>, as the HESC is considering doing to if it moves to commercial production</w:t>
      </w:r>
      <w:r w:rsidR="00FC51FC" w:rsidRPr="00BF5140">
        <w:rPr>
          <w:rFonts w:cstheme="minorHAnsi"/>
        </w:rPr>
        <w:t xml:space="preserve">. </w:t>
      </w:r>
      <w:r w:rsidR="004F5738" w:rsidRPr="00BF5140">
        <w:rPr>
          <w:rFonts w:cstheme="minorHAnsi"/>
        </w:rPr>
        <w:t>CCS projects such as C</w:t>
      </w:r>
      <w:r w:rsidR="005D28C5" w:rsidRPr="00BF5140">
        <w:rPr>
          <w:rFonts w:cstheme="minorHAnsi"/>
        </w:rPr>
        <w:t>a</w:t>
      </w:r>
      <w:r w:rsidR="004F5738" w:rsidRPr="00BF5140">
        <w:rPr>
          <w:rFonts w:cstheme="minorHAnsi"/>
        </w:rPr>
        <w:t xml:space="preserve">rbon Net and the CO2CRC Otway project have been under development for several years and do not appear to be </w:t>
      </w:r>
      <w:r w:rsidR="007E6367" w:rsidRPr="00BF5140">
        <w:rPr>
          <w:rFonts w:cstheme="minorHAnsi"/>
        </w:rPr>
        <w:t>subject to material regulatory barriers.</w:t>
      </w:r>
    </w:p>
    <w:p w14:paraId="38182E65" w14:textId="432ED861" w:rsidR="004F3111" w:rsidRPr="00BF5140" w:rsidRDefault="006C5564"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Dedicated h</w:t>
      </w:r>
      <w:r w:rsidR="004F3111" w:rsidRPr="00BF5140">
        <w:rPr>
          <w:rFonts w:asciiTheme="minorHAnsi" w:hAnsiTheme="minorHAnsi" w:cstheme="minorHAnsi"/>
          <w:sz w:val="22"/>
          <w:szCs w:val="22"/>
        </w:rPr>
        <w:t>ydrogen pipelines</w:t>
      </w:r>
    </w:p>
    <w:p w14:paraId="26E75972" w14:textId="4A59A4AC" w:rsidR="003053FB" w:rsidRPr="00BF5140" w:rsidRDefault="00053DC8"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 xml:space="preserve">Scenario C: </w:t>
      </w:r>
      <w:r w:rsidR="004F3111" w:rsidRPr="00BF5140">
        <w:rPr>
          <w:rFonts w:asciiTheme="minorHAnsi" w:hAnsiTheme="minorHAnsi" w:cstheme="minorHAnsi"/>
          <w:sz w:val="22"/>
          <w:szCs w:val="22"/>
        </w:rPr>
        <w:t>Hydrogen hub</w:t>
      </w:r>
    </w:p>
    <w:p w14:paraId="2D254240" w14:textId="4E08754F" w:rsidR="00A720B6" w:rsidRPr="00BF5140" w:rsidRDefault="00A720B6" w:rsidP="00D9340A">
      <w:pPr>
        <w:spacing w:after="120" w:line="340" w:lineRule="exact"/>
        <w:rPr>
          <w:rFonts w:cstheme="minorHAnsi"/>
        </w:rPr>
      </w:pPr>
      <w:r w:rsidRPr="00BF5140">
        <w:rPr>
          <w:rFonts w:cstheme="minorHAnsi"/>
        </w:rPr>
        <w:t xml:space="preserve">As noted in scenario A above, there are various challenges with </w:t>
      </w:r>
      <w:r w:rsidR="00B304B6" w:rsidRPr="00BF5140">
        <w:rPr>
          <w:rFonts w:cstheme="minorHAnsi"/>
        </w:rPr>
        <w:t>owning and operating a pure hydrogen network</w:t>
      </w:r>
      <w:r w:rsidR="00102E04" w:rsidRPr="00BF5140">
        <w:rPr>
          <w:rFonts w:cstheme="minorHAnsi"/>
        </w:rPr>
        <w:t>. In a hydrogen h</w:t>
      </w:r>
      <w:r w:rsidR="00FF6CD5" w:rsidRPr="00BF5140">
        <w:rPr>
          <w:rFonts w:cstheme="minorHAnsi"/>
        </w:rPr>
        <w:t>u</w:t>
      </w:r>
      <w:r w:rsidR="00102E04" w:rsidRPr="00BF5140">
        <w:rPr>
          <w:rFonts w:cstheme="minorHAnsi"/>
        </w:rPr>
        <w:t xml:space="preserve">b scenario, there are </w:t>
      </w:r>
      <w:r w:rsidR="00F5542B" w:rsidRPr="00BF5140">
        <w:rPr>
          <w:rFonts w:cstheme="minorHAnsi"/>
        </w:rPr>
        <w:t>likely</w:t>
      </w:r>
      <w:r w:rsidR="00102E04" w:rsidRPr="00BF5140">
        <w:rPr>
          <w:rFonts w:cstheme="minorHAnsi"/>
        </w:rPr>
        <w:t xml:space="preserve"> to be a mix of production, storage and use facilities </w:t>
      </w:r>
      <w:r w:rsidR="00FF6CD5" w:rsidRPr="00BF5140">
        <w:rPr>
          <w:rFonts w:cstheme="minorHAnsi"/>
        </w:rPr>
        <w:t xml:space="preserve">in close physical proximity and </w:t>
      </w:r>
      <w:r w:rsidR="00F5542B" w:rsidRPr="00BF5140">
        <w:rPr>
          <w:rFonts w:cstheme="minorHAnsi"/>
        </w:rPr>
        <w:t>with connecting pipelines</w:t>
      </w:r>
      <w:r w:rsidR="007F583A" w:rsidRPr="00BF5140">
        <w:rPr>
          <w:rFonts w:cstheme="minorHAnsi"/>
        </w:rPr>
        <w:t>. In one sense, then, this may be a pure hydrogen network.</w:t>
      </w:r>
      <w:r w:rsidR="00245941" w:rsidRPr="00BF5140">
        <w:rPr>
          <w:rFonts w:cstheme="minorHAnsi"/>
        </w:rPr>
        <w:t xml:space="preserve"> However, </w:t>
      </w:r>
      <w:r w:rsidR="00C051AB" w:rsidRPr="00BF5140">
        <w:rPr>
          <w:rFonts w:cstheme="minorHAnsi"/>
        </w:rPr>
        <w:t xml:space="preserve">there are </w:t>
      </w:r>
      <w:r w:rsidR="00DB5E52" w:rsidRPr="00BF5140">
        <w:rPr>
          <w:rFonts w:cstheme="minorHAnsi"/>
        </w:rPr>
        <w:t>likely</w:t>
      </w:r>
      <w:r w:rsidR="00C051AB" w:rsidRPr="00BF5140">
        <w:rPr>
          <w:rFonts w:cstheme="minorHAnsi"/>
        </w:rPr>
        <w:t xml:space="preserve"> to be mitigating fac</w:t>
      </w:r>
      <w:r w:rsidR="00D84857" w:rsidRPr="00BF5140">
        <w:rPr>
          <w:rFonts w:cstheme="minorHAnsi"/>
        </w:rPr>
        <w:t>tors</w:t>
      </w:r>
      <w:r w:rsidR="00B87426" w:rsidRPr="00BF5140">
        <w:rPr>
          <w:rFonts w:cstheme="minorHAnsi"/>
        </w:rPr>
        <w:t xml:space="preserve">, such as: hubs will </w:t>
      </w:r>
      <w:r w:rsidR="00DB5E52" w:rsidRPr="00BF5140">
        <w:rPr>
          <w:rFonts w:cstheme="minorHAnsi"/>
        </w:rPr>
        <w:t>likely</w:t>
      </w:r>
      <w:r w:rsidR="00B87426" w:rsidRPr="00BF5140">
        <w:rPr>
          <w:rFonts w:cstheme="minorHAnsi"/>
        </w:rPr>
        <w:t xml:space="preserve"> benefit from government support; th</w:t>
      </w:r>
      <w:r w:rsidR="006B1C09" w:rsidRPr="00BF5140">
        <w:rPr>
          <w:rFonts w:cstheme="minorHAnsi"/>
        </w:rPr>
        <w:t xml:space="preserve">e pipelines will be on private land (albeit </w:t>
      </w:r>
      <w:r w:rsidR="006E2E35" w:rsidRPr="00BF5140">
        <w:rPr>
          <w:rFonts w:cstheme="minorHAnsi"/>
        </w:rPr>
        <w:t>potentially</w:t>
      </w:r>
      <w:r w:rsidR="006B1C09" w:rsidRPr="00BF5140">
        <w:rPr>
          <w:rFonts w:cstheme="minorHAnsi"/>
        </w:rPr>
        <w:t xml:space="preserve"> different parties)</w:t>
      </w:r>
      <w:r w:rsidR="008E0F9E" w:rsidRPr="00BF5140">
        <w:rPr>
          <w:rFonts w:cstheme="minorHAnsi"/>
        </w:rPr>
        <w:t>; there will be a small number of parties connected, so individual contract</w:t>
      </w:r>
      <w:r w:rsidR="00DE07B1" w:rsidRPr="00BF5140">
        <w:rPr>
          <w:rFonts w:cstheme="minorHAnsi"/>
        </w:rPr>
        <w:t>s can address many of the concerns</w:t>
      </w:r>
      <w:r w:rsidR="00DB5E52" w:rsidRPr="00BF5140">
        <w:rPr>
          <w:rFonts w:cstheme="minorHAnsi"/>
        </w:rPr>
        <w:t xml:space="preserve">. </w:t>
      </w:r>
      <w:r w:rsidR="008E0F9E" w:rsidRPr="00BF5140">
        <w:rPr>
          <w:rFonts w:cstheme="minorHAnsi"/>
        </w:rPr>
        <w:t xml:space="preserve"> </w:t>
      </w:r>
    </w:p>
    <w:p w14:paraId="12FF9634" w14:textId="67FF3DD5" w:rsidR="000A1516" w:rsidRPr="00BF5140" w:rsidRDefault="000A1516" w:rsidP="00D9340A">
      <w:pPr>
        <w:spacing w:after="120" w:line="340" w:lineRule="exact"/>
        <w:rPr>
          <w:rFonts w:cstheme="minorHAnsi"/>
        </w:rPr>
      </w:pPr>
      <w:r w:rsidRPr="00BF5140">
        <w:rPr>
          <w:rFonts w:cstheme="minorHAnsi"/>
        </w:rPr>
        <w:t xml:space="preserve">There is also a question of whether </w:t>
      </w:r>
      <w:r w:rsidR="00DC2ED8" w:rsidRPr="00BF5140">
        <w:rPr>
          <w:rFonts w:cstheme="minorHAnsi"/>
        </w:rPr>
        <w:t xml:space="preserve">the pipelines in this scenario could fall into the </w:t>
      </w:r>
      <w:r w:rsidR="006E2E35" w:rsidRPr="00BF5140">
        <w:rPr>
          <w:rFonts w:cstheme="minorHAnsi"/>
        </w:rPr>
        <w:t>general</w:t>
      </w:r>
      <w:r w:rsidR="001F6BF5" w:rsidRPr="00BF5140">
        <w:rPr>
          <w:rFonts w:cstheme="minorHAnsi"/>
        </w:rPr>
        <w:t xml:space="preserve"> gas pipeline regulatory regime. </w:t>
      </w:r>
      <w:r w:rsidR="008724B1" w:rsidRPr="00BF5140">
        <w:rPr>
          <w:rFonts w:cstheme="minorHAnsi"/>
        </w:rPr>
        <w:t>JWS note that Part 23 (non-scheme pipelines)</w:t>
      </w:r>
      <w:r w:rsidR="00D807D2" w:rsidRPr="00BF5140">
        <w:rPr>
          <w:rFonts w:cstheme="minorHAnsi"/>
        </w:rPr>
        <w:t xml:space="preserve"> contains provisions that do not apply to </w:t>
      </w:r>
      <w:r w:rsidR="00CB2843" w:rsidRPr="00BF5140">
        <w:rPr>
          <w:rFonts w:cstheme="minorHAnsi"/>
        </w:rPr>
        <w:t xml:space="preserve">hydrogen (because it does not meet the relevant </w:t>
      </w:r>
      <w:r w:rsidR="006E2E35" w:rsidRPr="00BF5140">
        <w:rPr>
          <w:rFonts w:cstheme="minorHAnsi"/>
        </w:rPr>
        <w:t>definition</w:t>
      </w:r>
      <w:r w:rsidR="00CB2843" w:rsidRPr="00BF5140">
        <w:rPr>
          <w:rFonts w:cstheme="minorHAnsi"/>
        </w:rPr>
        <w:t xml:space="preserve"> of gas)</w:t>
      </w:r>
      <w:r w:rsidR="00D807D2" w:rsidRPr="00BF5140">
        <w:rPr>
          <w:rFonts w:cstheme="minorHAnsi"/>
        </w:rPr>
        <w:t xml:space="preserve">, </w:t>
      </w:r>
      <w:r w:rsidR="006E2E35" w:rsidRPr="00BF5140">
        <w:rPr>
          <w:rFonts w:cstheme="minorHAnsi"/>
        </w:rPr>
        <w:t>but</w:t>
      </w:r>
      <w:r w:rsidR="00D807D2" w:rsidRPr="00BF5140">
        <w:rPr>
          <w:rFonts w:cstheme="minorHAnsi"/>
        </w:rPr>
        <w:t xml:space="preserve"> the</w:t>
      </w:r>
      <w:r w:rsidR="00CB2843" w:rsidRPr="00BF5140">
        <w:rPr>
          <w:rFonts w:cstheme="minorHAnsi"/>
        </w:rPr>
        <w:t xml:space="preserve">y are silent on whether </w:t>
      </w:r>
      <w:r w:rsidR="00E00E74" w:rsidRPr="00BF5140">
        <w:rPr>
          <w:rFonts w:cstheme="minorHAnsi"/>
        </w:rPr>
        <w:t>parts 8-12 could apply</w:t>
      </w:r>
      <w:r w:rsidR="00251340" w:rsidRPr="00BF5140">
        <w:rPr>
          <w:rStyle w:val="EndnoteReference"/>
          <w:rFonts w:cstheme="minorHAnsi"/>
        </w:rPr>
        <w:endnoteReference w:id="4"/>
      </w:r>
      <w:r w:rsidR="00E00E74" w:rsidRPr="00BF5140">
        <w:rPr>
          <w:rFonts w:cstheme="minorHAnsi"/>
        </w:rPr>
        <w:t xml:space="preserve">. If </w:t>
      </w:r>
      <w:r w:rsidR="00762FFC" w:rsidRPr="00BF5140">
        <w:rPr>
          <w:rFonts w:cstheme="minorHAnsi"/>
        </w:rPr>
        <w:t xml:space="preserve">they could, then hydrogen </w:t>
      </w:r>
      <w:r w:rsidR="006E2E35" w:rsidRPr="00BF5140">
        <w:rPr>
          <w:rFonts w:cstheme="minorHAnsi"/>
        </w:rPr>
        <w:t>pipelines</w:t>
      </w:r>
      <w:r w:rsidR="00762FFC" w:rsidRPr="00BF5140">
        <w:rPr>
          <w:rFonts w:cstheme="minorHAnsi"/>
        </w:rPr>
        <w:t xml:space="preserve"> could potentially be subject to a coverage application. This</w:t>
      </w:r>
      <w:r w:rsidR="00D36FDD" w:rsidRPr="00BF5140">
        <w:rPr>
          <w:rFonts w:cstheme="minorHAnsi"/>
        </w:rPr>
        <w:t xml:space="preserve"> in turn may </w:t>
      </w:r>
      <w:r w:rsidR="006E2E35" w:rsidRPr="00BF5140">
        <w:rPr>
          <w:rFonts w:cstheme="minorHAnsi"/>
        </w:rPr>
        <w:t>constitute</w:t>
      </w:r>
      <w:r w:rsidR="00D36FDD" w:rsidRPr="00BF5140">
        <w:rPr>
          <w:rFonts w:cstheme="minorHAnsi"/>
        </w:rPr>
        <w:t xml:space="preserve"> a soft barrier if </w:t>
      </w:r>
      <w:r w:rsidR="00003409" w:rsidRPr="00BF5140">
        <w:rPr>
          <w:rFonts w:cstheme="minorHAnsi"/>
        </w:rPr>
        <w:t xml:space="preserve">existing customers’ </w:t>
      </w:r>
      <w:r w:rsidR="008C6032" w:rsidRPr="00BF5140">
        <w:rPr>
          <w:rFonts w:cstheme="minorHAnsi"/>
        </w:rPr>
        <w:t xml:space="preserve">projects could be undermined by having to share access with a third party. </w:t>
      </w:r>
      <w:r w:rsidR="00CE1A8D" w:rsidRPr="00BF5140">
        <w:rPr>
          <w:rFonts w:cstheme="minorHAnsi"/>
        </w:rPr>
        <w:t xml:space="preserve">In practice, it seems </w:t>
      </w:r>
      <w:r w:rsidR="006E2E35" w:rsidRPr="00BF5140">
        <w:rPr>
          <w:rFonts w:cstheme="minorHAnsi"/>
        </w:rPr>
        <w:t>likely</w:t>
      </w:r>
      <w:r w:rsidR="00CE1A8D" w:rsidRPr="00BF5140">
        <w:rPr>
          <w:rFonts w:cstheme="minorHAnsi"/>
        </w:rPr>
        <w:t xml:space="preserve"> that access arrangements would be thrashed out in the creation of the hub</w:t>
      </w:r>
      <w:r w:rsidR="0064248B" w:rsidRPr="00BF5140">
        <w:rPr>
          <w:rFonts w:cstheme="minorHAnsi"/>
        </w:rPr>
        <w:t xml:space="preserve"> and so a successful coverage application appears a remote possibility.</w:t>
      </w:r>
    </w:p>
    <w:p w14:paraId="1753DEFF" w14:textId="33967FC5" w:rsidR="00F708ED" w:rsidRPr="00BF5140" w:rsidRDefault="000F1CB5"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lastRenderedPageBreak/>
        <w:t>Hydrogen and electricity sector coupling</w:t>
      </w:r>
    </w:p>
    <w:p w14:paraId="7E694667" w14:textId="33476F2D" w:rsidR="004A17F1" w:rsidRPr="00BF5140" w:rsidRDefault="002A3D5F"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 xml:space="preserve">Scenario D: </w:t>
      </w:r>
      <w:r w:rsidR="00E501BC" w:rsidRPr="00BF5140">
        <w:rPr>
          <w:rFonts w:asciiTheme="minorHAnsi" w:hAnsiTheme="minorHAnsi" w:cstheme="minorHAnsi"/>
          <w:sz w:val="22"/>
          <w:szCs w:val="22"/>
        </w:rPr>
        <w:t>Electrolysis of surplus renewable energy</w:t>
      </w:r>
    </w:p>
    <w:p w14:paraId="244B592C" w14:textId="6894DC09" w:rsidR="00CB34FA" w:rsidRPr="00BF5140" w:rsidRDefault="00B725E3" w:rsidP="00D9340A">
      <w:pPr>
        <w:spacing w:after="120" w:line="340" w:lineRule="exact"/>
        <w:rPr>
          <w:rFonts w:cstheme="minorHAnsi"/>
        </w:rPr>
      </w:pPr>
      <w:r w:rsidRPr="00BF5140">
        <w:rPr>
          <w:rFonts w:cstheme="minorHAnsi"/>
        </w:rPr>
        <w:t>In this scenario</w:t>
      </w:r>
      <w:r w:rsidR="00AE6943" w:rsidRPr="00BF5140">
        <w:rPr>
          <w:rFonts w:cstheme="minorHAnsi"/>
        </w:rPr>
        <w:t xml:space="preserve">, an electrolyser </w:t>
      </w:r>
      <w:r w:rsidR="00105B38" w:rsidRPr="00BF5140">
        <w:rPr>
          <w:rFonts w:cstheme="minorHAnsi"/>
        </w:rPr>
        <w:t>is co</w:t>
      </w:r>
      <w:r w:rsidR="00D84BEE" w:rsidRPr="00BF5140">
        <w:rPr>
          <w:rFonts w:cstheme="minorHAnsi"/>
        </w:rPr>
        <w:t>-located with a renewable generator such</w:t>
      </w:r>
      <w:r w:rsidR="006E2E35" w:rsidRPr="00BF5140">
        <w:rPr>
          <w:rFonts w:cstheme="minorHAnsi"/>
        </w:rPr>
        <w:t xml:space="preserve"> </w:t>
      </w:r>
      <w:r w:rsidR="00D84BEE" w:rsidRPr="00BF5140">
        <w:rPr>
          <w:rFonts w:cstheme="minorHAnsi"/>
        </w:rPr>
        <w:t>as a</w:t>
      </w:r>
      <w:r w:rsidR="006E2E35" w:rsidRPr="00BF5140">
        <w:rPr>
          <w:rFonts w:cstheme="minorHAnsi"/>
        </w:rPr>
        <w:t xml:space="preserve"> </w:t>
      </w:r>
      <w:r w:rsidR="00D84BEE" w:rsidRPr="00BF5140">
        <w:rPr>
          <w:rFonts w:cstheme="minorHAnsi"/>
        </w:rPr>
        <w:t xml:space="preserve">wind farm </w:t>
      </w:r>
      <w:r w:rsidR="008D0D55" w:rsidRPr="00BF5140">
        <w:rPr>
          <w:rFonts w:cstheme="minorHAnsi"/>
        </w:rPr>
        <w:t>or solar</w:t>
      </w:r>
      <w:r w:rsidR="00D84BEE" w:rsidRPr="00BF5140">
        <w:rPr>
          <w:rFonts w:cstheme="minorHAnsi"/>
        </w:rPr>
        <w:t xml:space="preserve"> PV plant </w:t>
      </w:r>
      <w:r w:rsidR="00742815" w:rsidRPr="00BF5140">
        <w:rPr>
          <w:rFonts w:cstheme="minorHAnsi"/>
        </w:rPr>
        <w:t>in order to benefit from cheap</w:t>
      </w:r>
      <w:r w:rsidR="00B92786" w:rsidRPr="00BF5140">
        <w:rPr>
          <w:rFonts w:cstheme="minorHAnsi"/>
        </w:rPr>
        <w:t xml:space="preserve">, potentially surplus electricity. </w:t>
      </w:r>
      <w:r w:rsidR="00A30AB7" w:rsidRPr="00BF5140">
        <w:rPr>
          <w:rFonts w:cstheme="minorHAnsi"/>
        </w:rPr>
        <w:t>It’s assumed that the hydrogen is then used on site or transported elsewhere (see above for discussion of pipeline-related issues)</w:t>
      </w:r>
      <w:r w:rsidR="00BD7D4D" w:rsidRPr="00BF5140">
        <w:rPr>
          <w:rFonts w:cstheme="minorHAnsi"/>
        </w:rPr>
        <w:t xml:space="preserve">. </w:t>
      </w:r>
      <w:r w:rsidR="00B92786" w:rsidRPr="00BF5140">
        <w:rPr>
          <w:rFonts w:cstheme="minorHAnsi"/>
        </w:rPr>
        <w:t xml:space="preserve">The advantage </w:t>
      </w:r>
      <w:r w:rsidR="00CB34FA" w:rsidRPr="00BF5140">
        <w:rPr>
          <w:rFonts w:cstheme="minorHAnsi"/>
        </w:rPr>
        <w:t>of co-location rather than simply plugging into the grid elsewhere is the ability to benefit from elec</w:t>
      </w:r>
      <w:r w:rsidR="00FB606C" w:rsidRPr="00BF5140">
        <w:rPr>
          <w:rFonts w:cstheme="minorHAnsi"/>
        </w:rPr>
        <w:t>t</w:t>
      </w:r>
      <w:r w:rsidR="00CB34FA" w:rsidRPr="00BF5140">
        <w:rPr>
          <w:rFonts w:cstheme="minorHAnsi"/>
        </w:rPr>
        <w:t>ric</w:t>
      </w:r>
      <w:r w:rsidR="00FB606C" w:rsidRPr="00BF5140">
        <w:rPr>
          <w:rFonts w:cstheme="minorHAnsi"/>
        </w:rPr>
        <w:t>i</w:t>
      </w:r>
      <w:r w:rsidR="00CB34FA" w:rsidRPr="00BF5140">
        <w:rPr>
          <w:rFonts w:cstheme="minorHAnsi"/>
        </w:rPr>
        <w:t xml:space="preserve">ty output that might otherwise be curtailed due to grid congestion or security constraints. </w:t>
      </w:r>
      <w:r w:rsidR="008D0D55" w:rsidRPr="00BF5140">
        <w:rPr>
          <w:rFonts w:cstheme="minorHAnsi"/>
        </w:rPr>
        <w:t>Additionally,</w:t>
      </w:r>
      <w:r w:rsidR="00CB34FA" w:rsidRPr="00BF5140">
        <w:rPr>
          <w:rFonts w:cstheme="minorHAnsi"/>
        </w:rPr>
        <w:t xml:space="preserve"> if the generator is subject to unfavourable marginal loss factor</w:t>
      </w:r>
      <w:r w:rsidR="003C149B" w:rsidRPr="00BF5140">
        <w:rPr>
          <w:rFonts w:cstheme="minorHAnsi"/>
        </w:rPr>
        <w:t xml:space="preserve">s, then it can </w:t>
      </w:r>
      <w:r w:rsidR="00FB606C" w:rsidRPr="00BF5140">
        <w:rPr>
          <w:rFonts w:cstheme="minorHAnsi"/>
        </w:rPr>
        <w:t>obtain more value for its output by utilising it on site.</w:t>
      </w:r>
    </w:p>
    <w:p w14:paraId="265A157D" w14:textId="10D8934C" w:rsidR="00FB606C" w:rsidRPr="00BF5140" w:rsidRDefault="00FB606C" w:rsidP="00D9340A">
      <w:pPr>
        <w:spacing w:after="120" w:line="340" w:lineRule="exact"/>
        <w:rPr>
          <w:rFonts w:cstheme="minorHAnsi"/>
        </w:rPr>
      </w:pPr>
      <w:r w:rsidRPr="00BF5140">
        <w:rPr>
          <w:rFonts w:cstheme="minorHAnsi"/>
        </w:rPr>
        <w:t xml:space="preserve">On the face of it there are few regulatory issues specific to this scenario. </w:t>
      </w:r>
      <w:r w:rsidR="00967749" w:rsidRPr="00BF5140">
        <w:rPr>
          <w:rFonts w:cstheme="minorHAnsi"/>
        </w:rPr>
        <w:t xml:space="preserve">A review of the NER applicable to registered generators does not appear to preclude </w:t>
      </w:r>
      <w:r w:rsidR="009D53D9" w:rsidRPr="00BF5140">
        <w:rPr>
          <w:rFonts w:cstheme="minorHAnsi"/>
        </w:rPr>
        <w:t xml:space="preserve">a generator diverting some of its output </w:t>
      </w:r>
      <w:r w:rsidR="00FE61EF" w:rsidRPr="00BF5140">
        <w:rPr>
          <w:rFonts w:cstheme="minorHAnsi"/>
        </w:rPr>
        <w:t xml:space="preserve">to another use </w:t>
      </w:r>
      <w:r w:rsidR="00FB2774" w:rsidRPr="00BF5140">
        <w:rPr>
          <w:rFonts w:cstheme="minorHAnsi"/>
        </w:rPr>
        <w:t xml:space="preserve">provided this takes place on its side of the connection point. </w:t>
      </w:r>
      <w:r w:rsidR="00826ACA" w:rsidRPr="00BF5140">
        <w:rPr>
          <w:rFonts w:cstheme="minorHAnsi"/>
        </w:rPr>
        <w:t>After all, most ge</w:t>
      </w:r>
      <w:r w:rsidR="00CE01B5" w:rsidRPr="00BF5140">
        <w:rPr>
          <w:rFonts w:cstheme="minorHAnsi"/>
        </w:rPr>
        <w:t>n</w:t>
      </w:r>
      <w:r w:rsidR="00826ACA" w:rsidRPr="00BF5140">
        <w:rPr>
          <w:rFonts w:cstheme="minorHAnsi"/>
        </w:rPr>
        <w:t>erators self-consume to some extent</w:t>
      </w:r>
      <w:r w:rsidR="00CE01B5" w:rsidRPr="00BF5140">
        <w:rPr>
          <w:rFonts w:cstheme="minorHAnsi"/>
        </w:rPr>
        <w:t xml:space="preserve">, and this output is not required to be traded in the </w:t>
      </w:r>
      <w:r w:rsidR="00970A6A" w:rsidRPr="00BF5140">
        <w:rPr>
          <w:rFonts w:cstheme="minorHAnsi"/>
        </w:rPr>
        <w:t>market</w:t>
      </w:r>
      <w:r w:rsidR="00CE01B5" w:rsidRPr="00BF5140">
        <w:rPr>
          <w:rFonts w:cstheme="minorHAnsi"/>
        </w:rPr>
        <w:t xml:space="preserve"> or subject to dispatch. Clearly, in this scenario, the generator </w:t>
      </w:r>
      <w:proofErr w:type="gramStart"/>
      <w:r w:rsidR="00CE01B5" w:rsidRPr="00BF5140">
        <w:rPr>
          <w:rFonts w:cstheme="minorHAnsi"/>
        </w:rPr>
        <w:t>has to</w:t>
      </w:r>
      <w:proofErr w:type="gramEnd"/>
      <w:r w:rsidR="00CE01B5" w:rsidRPr="00BF5140">
        <w:rPr>
          <w:rFonts w:cstheme="minorHAnsi"/>
        </w:rPr>
        <w:t xml:space="preserve"> comply w</w:t>
      </w:r>
      <w:r w:rsidR="00970A6A" w:rsidRPr="00BF5140">
        <w:rPr>
          <w:rFonts w:cstheme="minorHAnsi"/>
        </w:rPr>
        <w:t>i</w:t>
      </w:r>
      <w:r w:rsidR="00CE01B5" w:rsidRPr="00BF5140">
        <w:rPr>
          <w:rFonts w:cstheme="minorHAnsi"/>
        </w:rPr>
        <w:t xml:space="preserve">th dispatch instructions and also with direction from AEMO. From time to time this could impact its ability to supply the electrolyser, but this scenario is </w:t>
      </w:r>
      <w:r w:rsidR="00970A6A" w:rsidRPr="00BF5140">
        <w:rPr>
          <w:rFonts w:cstheme="minorHAnsi"/>
        </w:rPr>
        <w:t>not predicated on full utilisation of the electrolyser in any case.</w:t>
      </w:r>
    </w:p>
    <w:p w14:paraId="303B2AC3" w14:textId="61578649" w:rsidR="003D0747" w:rsidRPr="00BF5140" w:rsidRDefault="008B320C" w:rsidP="00D9340A">
      <w:pPr>
        <w:spacing w:after="120" w:line="340" w:lineRule="exact"/>
        <w:rPr>
          <w:rFonts w:cstheme="minorHAnsi"/>
        </w:rPr>
      </w:pPr>
      <w:r w:rsidRPr="00BF5140">
        <w:rPr>
          <w:rFonts w:cstheme="minorHAnsi"/>
        </w:rPr>
        <w:t>Following their emergence as a feature of the integrated system plan</w:t>
      </w:r>
      <w:r w:rsidR="006E0102" w:rsidRPr="00BF5140">
        <w:rPr>
          <w:rFonts w:cstheme="minorHAnsi"/>
        </w:rPr>
        <w:t xml:space="preserve"> (ISP)</w:t>
      </w:r>
      <w:r w:rsidRPr="00BF5140">
        <w:rPr>
          <w:rFonts w:cstheme="minorHAnsi"/>
        </w:rPr>
        <w:t xml:space="preserve">, </w:t>
      </w:r>
      <w:r w:rsidR="00F53A56" w:rsidRPr="00BF5140">
        <w:rPr>
          <w:rFonts w:cstheme="minorHAnsi"/>
        </w:rPr>
        <w:t>development of several Renewable Energy Zones (REZs)</w:t>
      </w:r>
      <w:r w:rsidR="00A87BF3" w:rsidRPr="00BF5140">
        <w:rPr>
          <w:rFonts w:cstheme="minorHAnsi"/>
        </w:rPr>
        <w:t xml:space="preserve"> </w:t>
      </w:r>
      <w:r w:rsidR="00EC0C1C" w:rsidRPr="00BF5140">
        <w:rPr>
          <w:rFonts w:cstheme="minorHAnsi"/>
        </w:rPr>
        <w:t>have been proposed. These appear to be supported at least in princip</w:t>
      </w:r>
      <w:r w:rsidR="00902F75" w:rsidRPr="00BF5140">
        <w:rPr>
          <w:rFonts w:cstheme="minorHAnsi"/>
        </w:rPr>
        <w:t>l</w:t>
      </w:r>
      <w:r w:rsidR="00EC0C1C" w:rsidRPr="00BF5140">
        <w:rPr>
          <w:rFonts w:cstheme="minorHAnsi"/>
        </w:rPr>
        <w:t xml:space="preserve">e by the relevant state </w:t>
      </w:r>
      <w:r w:rsidR="00902F75" w:rsidRPr="00BF5140">
        <w:rPr>
          <w:rFonts w:cstheme="minorHAnsi"/>
        </w:rPr>
        <w:t>governments</w:t>
      </w:r>
      <w:r w:rsidR="00EC0C1C" w:rsidRPr="00BF5140">
        <w:rPr>
          <w:rFonts w:cstheme="minorHAnsi"/>
        </w:rPr>
        <w:t>. REZs would be particularly appropriate place</w:t>
      </w:r>
      <w:r w:rsidR="00902F75" w:rsidRPr="00BF5140">
        <w:rPr>
          <w:rFonts w:cstheme="minorHAnsi"/>
        </w:rPr>
        <w:t>s</w:t>
      </w:r>
      <w:r w:rsidR="00EC0C1C" w:rsidRPr="00BF5140">
        <w:rPr>
          <w:rFonts w:cstheme="minorHAnsi"/>
        </w:rPr>
        <w:t xml:space="preserve"> for this scenario</w:t>
      </w:r>
      <w:r w:rsidR="00C023E5" w:rsidRPr="00BF5140">
        <w:rPr>
          <w:rFonts w:cstheme="minorHAnsi"/>
        </w:rPr>
        <w:t xml:space="preserve"> </w:t>
      </w:r>
      <w:r w:rsidR="00902F75" w:rsidRPr="00BF5140">
        <w:rPr>
          <w:rFonts w:cstheme="minorHAnsi"/>
        </w:rPr>
        <w:t xml:space="preserve">and </w:t>
      </w:r>
      <w:r w:rsidR="00E14C91" w:rsidRPr="00BF5140">
        <w:rPr>
          <w:rFonts w:cstheme="minorHAnsi"/>
        </w:rPr>
        <w:t xml:space="preserve">could support the development of hydrogen hubs. </w:t>
      </w:r>
      <w:r w:rsidR="003C2D0D" w:rsidRPr="00BF5140">
        <w:rPr>
          <w:rFonts w:cstheme="minorHAnsi"/>
        </w:rPr>
        <w:t xml:space="preserve">If a hydrogen production facility wanted to </w:t>
      </w:r>
      <w:r w:rsidR="0000643A" w:rsidRPr="00BF5140">
        <w:rPr>
          <w:rFonts w:cstheme="minorHAnsi"/>
        </w:rPr>
        <w:t xml:space="preserve">utilise the output </w:t>
      </w:r>
      <w:r w:rsidR="0046308E" w:rsidRPr="00BF5140">
        <w:rPr>
          <w:rFonts w:cstheme="minorHAnsi"/>
        </w:rPr>
        <w:t>of several nearby generators, each with their own individual connection point then it would need to be connected to them via the shared grid and either appoint</w:t>
      </w:r>
      <w:r w:rsidR="00E973A6" w:rsidRPr="00BF5140">
        <w:rPr>
          <w:rFonts w:cstheme="minorHAnsi"/>
        </w:rPr>
        <w:t xml:space="preserve"> </w:t>
      </w:r>
      <w:r w:rsidR="0046308E" w:rsidRPr="00BF5140">
        <w:rPr>
          <w:rFonts w:cstheme="minorHAnsi"/>
        </w:rPr>
        <w:t xml:space="preserve">a retailer, or if of </w:t>
      </w:r>
      <w:proofErr w:type="gramStart"/>
      <w:r w:rsidR="0046308E" w:rsidRPr="00BF5140">
        <w:rPr>
          <w:rFonts w:cstheme="minorHAnsi"/>
        </w:rPr>
        <w:t>sufficient</w:t>
      </w:r>
      <w:proofErr w:type="gramEnd"/>
      <w:r w:rsidR="0046308E" w:rsidRPr="00BF5140">
        <w:rPr>
          <w:rFonts w:cstheme="minorHAnsi"/>
        </w:rPr>
        <w:t xml:space="preserve"> scale, register as a market customer</w:t>
      </w:r>
      <w:r w:rsidR="00CC185C" w:rsidRPr="00BF5140">
        <w:rPr>
          <w:rFonts w:cstheme="minorHAnsi"/>
        </w:rPr>
        <w:t xml:space="preserve">. Neither of these options present as a hard barrier. </w:t>
      </w:r>
      <w:r w:rsidR="00FB3B4B" w:rsidRPr="00BF5140">
        <w:rPr>
          <w:rFonts w:cstheme="minorHAnsi"/>
        </w:rPr>
        <w:t xml:space="preserve">Nor are they realistically a material soft barrier – there are consequences, including </w:t>
      </w:r>
      <w:r w:rsidR="0019219F" w:rsidRPr="00BF5140">
        <w:rPr>
          <w:rFonts w:cstheme="minorHAnsi"/>
        </w:rPr>
        <w:t>costs such as TUOS and market fees</w:t>
      </w:r>
      <w:r w:rsidR="006C3851" w:rsidRPr="00BF5140">
        <w:rPr>
          <w:rFonts w:cstheme="minorHAnsi"/>
        </w:rPr>
        <w:t xml:space="preserve">, that follow, but these are just a normal </w:t>
      </w:r>
      <w:r w:rsidR="0045294C" w:rsidRPr="00BF5140">
        <w:rPr>
          <w:rFonts w:cstheme="minorHAnsi"/>
        </w:rPr>
        <w:t>el</w:t>
      </w:r>
      <w:r w:rsidR="00C53F60" w:rsidRPr="00BF5140">
        <w:rPr>
          <w:rFonts w:cstheme="minorHAnsi"/>
        </w:rPr>
        <w:t>e</w:t>
      </w:r>
      <w:r w:rsidR="0045294C" w:rsidRPr="00BF5140">
        <w:rPr>
          <w:rFonts w:cstheme="minorHAnsi"/>
        </w:rPr>
        <w:t xml:space="preserve">ment of being part of the grid </w:t>
      </w:r>
      <w:r w:rsidR="00F64995" w:rsidRPr="00BF5140">
        <w:rPr>
          <w:rFonts w:cstheme="minorHAnsi"/>
        </w:rPr>
        <w:t xml:space="preserve">and there does not seem to be a case for </w:t>
      </w:r>
      <w:r w:rsidR="000D4E98" w:rsidRPr="00BF5140">
        <w:rPr>
          <w:rFonts w:cstheme="minorHAnsi"/>
        </w:rPr>
        <w:t>exemption or changing the rules for hydrogen projects.</w:t>
      </w:r>
      <w:r w:rsidR="003D0747" w:rsidRPr="00BF5140">
        <w:rPr>
          <w:rFonts w:cstheme="minorHAnsi"/>
        </w:rPr>
        <w:t xml:space="preserve"> </w:t>
      </w:r>
    </w:p>
    <w:p w14:paraId="10297969" w14:textId="5805322E" w:rsidR="00EF5739" w:rsidRPr="00BF5140" w:rsidRDefault="00EF5739" w:rsidP="00D9340A">
      <w:pPr>
        <w:spacing w:after="120" w:line="340" w:lineRule="exact"/>
        <w:rPr>
          <w:rFonts w:cstheme="minorHAnsi"/>
        </w:rPr>
      </w:pPr>
      <w:r w:rsidRPr="00BF5140">
        <w:rPr>
          <w:rFonts w:cstheme="minorHAnsi"/>
        </w:rPr>
        <w:t xml:space="preserve">An integrated planning approach would </w:t>
      </w:r>
      <w:r w:rsidR="001E2B9F" w:rsidRPr="00BF5140">
        <w:rPr>
          <w:rFonts w:cstheme="minorHAnsi"/>
        </w:rPr>
        <w:t xml:space="preserve">assist with the development of this scenario. A </w:t>
      </w:r>
      <w:r w:rsidR="00B7057F" w:rsidRPr="00BF5140">
        <w:rPr>
          <w:rFonts w:cstheme="minorHAnsi"/>
        </w:rPr>
        <w:t xml:space="preserve">detailed review of jurisdictional </w:t>
      </w:r>
      <w:r w:rsidR="00245422" w:rsidRPr="00BF5140">
        <w:rPr>
          <w:rFonts w:cstheme="minorHAnsi"/>
        </w:rPr>
        <w:t>planning</w:t>
      </w:r>
      <w:r w:rsidR="00B7057F" w:rsidRPr="00BF5140">
        <w:rPr>
          <w:rFonts w:cstheme="minorHAnsi"/>
        </w:rPr>
        <w:t xml:space="preserve"> requirements has not been carried out, but there are no obvious reasons for those to contain material barriers – there may be some general provisions </w:t>
      </w:r>
      <w:r w:rsidR="00910CD7" w:rsidRPr="00BF5140">
        <w:rPr>
          <w:rFonts w:cstheme="minorHAnsi"/>
        </w:rPr>
        <w:t xml:space="preserve">about matters such as distances between different types of assets, but these should not add </w:t>
      </w:r>
      <w:r w:rsidR="00245422" w:rsidRPr="00BF5140">
        <w:rPr>
          <w:rFonts w:cstheme="minorHAnsi"/>
        </w:rPr>
        <w:t>major costs to any co-location project.</w:t>
      </w:r>
      <w:r w:rsidR="00870737" w:rsidRPr="00BF5140">
        <w:rPr>
          <w:rFonts w:cstheme="minorHAnsi"/>
        </w:rPr>
        <w:t xml:space="preserve"> As governments are </w:t>
      </w:r>
      <w:r w:rsidR="00E6369C" w:rsidRPr="00BF5140">
        <w:rPr>
          <w:rFonts w:cstheme="minorHAnsi"/>
        </w:rPr>
        <w:t>generally supportive of and have plans for developing a hydrogen economy in</w:t>
      </w:r>
      <w:r w:rsidR="006E0102" w:rsidRPr="00BF5140">
        <w:rPr>
          <w:rFonts w:cstheme="minorHAnsi"/>
        </w:rPr>
        <w:t xml:space="preserve"> </w:t>
      </w:r>
      <w:r w:rsidR="00E6369C" w:rsidRPr="00BF5140">
        <w:rPr>
          <w:rFonts w:cstheme="minorHAnsi"/>
        </w:rPr>
        <w:t xml:space="preserve">their </w:t>
      </w:r>
      <w:r w:rsidR="006E0102" w:rsidRPr="00BF5140">
        <w:rPr>
          <w:rFonts w:cstheme="minorHAnsi"/>
        </w:rPr>
        <w:t>jurisdiction</w:t>
      </w:r>
      <w:r w:rsidR="00E6369C" w:rsidRPr="00BF5140">
        <w:rPr>
          <w:rFonts w:cstheme="minorHAnsi"/>
        </w:rPr>
        <w:t xml:space="preserve">, ministerial discretion may also assist. </w:t>
      </w:r>
    </w:p>
    <w:p w14:paraId="3CC3C5A5" w14:textId="475C41A7" w:rsidR="00CB3C13" w:rsidRPr="00BF5140" w:rsidRDefault="00CB3C13" w:rsidP="00D9340A">
      <w:pPr>
        <w:spacing w:after="120" w:line="340" w:lineRule="exact"/>
        <w:rPr>
          <w:rFonts w:cstheme="minorHAnsi"/>
        </w:rPr>
      </w:pPr>
      <w:r w:rsidRPr="00BF5140">
        <w:rPr>
          <w:rFonts w:cstheme="minorHAnsi"/>
        </w:rPr>
        <w:t xml:space="preserve">Currently the planning process for where REZs </w:t>
      </w:r>
      <w:r w:rsidR="006E0102" w:rsidRPr="00BF5140">
        <w:rPr>
          <w:rFonts w:cstheme="minorHAnsi"/>
        </w:rPr>
        <w:t xml:space="preserve">are located is the ISP, and this does not contain any assumptions about hydrogen development. The process does allow for stakeholder input and AEMO seeks information about major prospective loads. </w:t>
      </w:r>
      <w:r w:rsidR="002921C9" w:rsidRPr="00BF5140">
        <w:rPr>
          <w:rFonts w:cstheme="minorHAnsi"/>
        </w:rPr>
        <w:t>Additionally,</w:t>
      </w:r>
      <w:r w:rsidR="006E0102" w:rsidRPr="00BF5140">
        <w:rPr>
          <w:rFonts w:cstheme="minorHAnsi"/>
        </w:rPr>
        <w:t xml:space="preserve"> the ESB’s Health of the NEM report</w:t>
      </w:r>
      <w:r w:rsidR="006712EE" w:rsidRPr="00BF5140">
        <w:rPr>
          <w:rFonts w:cstheme="minorHAnsi"/>
        </w:rPr>
        <w:t xml:space="preserve"> </w:t>
      </w:r>
      <w:r w:rsidR="003A4FDD" w:rsidRPr="00BF5140">
        <w:rPr>
          <w:rFonts w:cstheme="minorHAnsi"/>
        </w:rPr>
        <w:t xml:space="preserve">states that “the future of the ISP will need to start considering </w:t>
      </w:r>
      <w:r w:rsidR="003A4FDD" w:rsidRPr="00BF5140">
        <w:rPr>
          <w:rFonts w:cstheme="minorHAnsi"/>
          <w:b/>
          <w:bCs/>
          <w:i/>
          <w:iCs/>
        </w:rPr>
        <w:t>integrated planning</w:t>
      </w:r>
      <w:r w:rsidR="003A4FDD" w:rsidRPr="00BF5140">
        <w:rPr>
          <w:rFonts w:cstheme="minorHAnsi"/>
        </w:rPr>
        <w:t xml:space="preserve"> of gas development, </w:t>
      </w:r>
      <w:r w:rsidR="003A4FDD" w:rsidRPr="00BF5140">
        <w:rPr>
          <w:rFonts w:cstheme="minorHAnsi"/>
          <w:b/>
          <w:bCs/>
          <w:i/>
          <w:iCs/>
        </w:rPr>
        <w:t>hydrogen development</w:t>
      </w:r>
      <w:r w:rsidR="003A4FDD" w:rsidRPr="00BF5140">
        <w:rPr>
          <w:rFonts w:cstheme="minorHAnsi"/>
        </w:rPr>
        <w:t xml:space="preserve"> and more immediately infrastructure to support the rollout of </w:t>
      </w:r>
      <w:r w:rsidR="003A4FDD" w:rsidRPr="00BF5140">
        <w:rPr>
          <w:rFonts w:cstheme="minorHAnsi"/>
        </w:rPr>
        <w:lastRenderedPageBreak/>
        <w:t>electric vehicles</w:t>
      </w:r>
      <w:r w:rsidR="006636C5" w:rsidRPr="00BF5140">
        <w:rPr>
          <w:rStyle w:val="EndnoteReference"/>
          <w:rFonts w:cstheme="minorHAnsi"/>
        </w:rPr>
        <w:endnoteReference w:id="5"/>
      </w:r>
      <w:r w:rsidR="003A4FDD" w:rsidRPr="00BF5140">
        <w:rPr>
          <w:rFonts w:cstheme="minorHAnsi"/>
        </w:rPr>
        <w:t>”</w:t>
      </w:r>
      <w:r w:rsidR="00906144" w:rsidRPr="00BF5140">
        <w:rPr>
          <w:rFonts w:cstheme="minorHAnsi"/>
        </w:rPr>
        <w:t>(emphasis added)</w:t>
      </w:r>
      <w:r w:rsidR="003A4FDD" w:rsidRPr="00BF5140">
        <w:rPr>
          <w:rFonts w:cstheme="minorHAnsi"/>
        </w:rPr>
        <w:t>.</w:t>
      </w:r>
      <w:r w:rsidR="005F7F02" w:rsidRPr="00BF5140">
        <w:rPr>
          <w:rFonts w:cstheme="minorHAnsi"/>
        </w:rPr>
        <w:t xml:space="preserve"> </w:t>
      </w:r>
      <w:r w:rsidR="00CE0650" w:rsidRPr="00BF5140">
        <w:rPr>
          <w:rFonts w:cstheme="minorHAnsi"/>
        </w:rPr>
        <w:t>While unlikely to be a decisive factor in the growth of the sector,</w:t>
      </w:r>
      <w:r w:rsidR="00BC7A45" w:rsidRPr="00BF5140">
        <w:rPr>
          <w:rFonts w:cstheme="minorHAnsi"/>
        </w:rPr>
        <w:t xml:space="preserve"> advocating for </w:t>
      </w:r>
      <w:r w:rsidR="00997BA7" w:rsidRPr="00BF5140">
        <w:rPr>
          <w:rFonts w:cstheme="minorHAnsi"/>
        </w:rPr>
        <w:t xml:space="preserve">integrated planning </w:t>
      </w:r>
      <w:r w:rsidR="007D59C0" w:rsidRPr="00BF5140">
        <w:rPr>
          <w:rFonts w:cstheme="minorHAnsi"/>
        </w:rPr>
        <w:t xml:space="preserve">of </w:t>
      </w:r>
      <w:r w:rsidR="005A019F" w:rsidRPr="00BF5140">
        <w:rPr>
          <w:rFonts w:cstheme="minorHAnsi"/>
        </w:rPr>
        <w:t>hydrogen in the ISP</w:t>
      </w:r>
      <w:r w:rsidR="007D59C0" w:rsidRPr="00BF5140">
        <w:rPr>
          <w:rFonts w:cstheme="minorHAnsi"/>
        </w:rPr>
        <w:t xml:space="preserve"> is one option. There is some risk </w:t>
      </w:r>
      <w:r w:rsidR="001847FE" w:rsidRPr="00BF5140">
        <w:rPr>
          <w:rFonts w:cstheme="minorHAnsi"/>
        </w:rPr>
        <w:t xml:space="preserve">that a multi-sector integrated planning approach puts a lot of emphasis on the “one source of the truth” that is AEMO’s modelling team. </w:t>
      </w:r>
    </w:p>
    <w:p w14:paraId="3488E8BF" w14:textId="58DFBD4D" w:rsidR="002A3D5F" w:rsidRPr="00BF5140" w:rsidRDefault="002A3D5F" w:rsidP="00D9340A">
      <w:pPr>
        <w:pStyle w:val="Heading3"/>
        <w:spacing w:after="120" w:line="340" w:lineRule="exact"/>
        <w:rPr>
          <w:rFonts w:asciiTheme="minorHAnsi" w:hAnsiTheme="minorHAnsi" w:cstheme="minorHAnsi"/>
          <w:sz w:val="22"/>
          <w:szCs w:val="22"/>
        </w:rPr>
      </w:pPr>
      <w:r w:rsidRPr="00BF5140">
        <w:rPr>
          <w:rFonts w:asciiTheme="minorHAnsi" w:hAnsiTheme="minorHAnsi" w:cstheme="minorHAnsi"/>
          <w:sz w:val="22"/>
          <w:szCs w:val="22"/>
        </w:rPr>
        <w:t xml:space="preserve">Scenario E: </w:t>
      </w:r>
      <w:r w:rsidR="00A86EF9" w:rsidRPr="00BF5140">
        <w:rPr>
          <w:rFonts w:asciiTheme="minorHAnsi" w:hAnsiTheme="minorHAnsi" w:cstheme="minorHAnsi"/>
          <w:sz w:val="22"/>
          <w:szCs w:val="22"/>
        </w:rPr>
        <w:t>Storage model</w:t>
      </w:r>
    </w:p>
    <w:p w14:paraId="6B2C9ED6" w14:textId="1ED955A8" w:rsidR="00566829" w:rsidRPr="00BF5140" w:rsidRDefault="00566829" w:rsidP="00D9340A">
      <w:pPr>
        <w:spacing w:after="120" w:line="340" w:lineRule="exact"/>
        <w:rPr>
          <w:rFonts w:cstheme="minorHAnsi"/>
        </w:rPr>
      </w:pPr>
      <w:r w:rsidRPr="00BF5140">
        <w:rPr>
          <w:rFonts w:cstheme="minorHAnsi"/>
        </w:rPr>
        <w:t xml:space="preserve">This scenario is </w:t>
      </w:r>
      <w:proofErr w:type="gramStart"/>
      <w:r w:rsidRPr="00BF5140">
        <w:rPr>
          <w:rFonts w:cstheme="minorHAnsi"/>
        </w:rPr>
        <w:t>similar to</w:t>
      </w:r>
      <w:proofErr w:type="gramEnd"/>
      <w:r w:rsidRPr="00BF5140">
        <w:rPr>
          <w:rFonts w:cstheme="minorHAnsi"/>
        </w:rPr>
        <w:t xml:space="preserve"> Scenario D, except that the </w:t>
      </w:r>
      <w:r w:rsidR="00B957E7" w:rsidRPr="00BF5140">
        <w:rPr>
          <w:rFonts w:cstheme="minorHAnsi"/>
        </w:rPr>
        <w:t xml:space="preserve">co-located project also includes a turbine or fuel cell that can convert hydrogen back to electricity for exporting to the grid. </w:t>
      </w:r>
      <w:r w:rsidR="00DB2191" w:rsidRPr="00BF5140">
        <w:rPr>
          <w:rFonts w:cstheme="minorHAnsi"/>
        </w:rPr>
        <w:t>This allows the project to function (at least par</w:t>
      </w:r>
      <w:r w:rsidR="00BA0CC9" w:rsidRPr="00BF5140">
        <w:rPr>
          <w:rFonts w:cstheme="minorHAnsi"/>
        </w:rPr>
        <w:t>tly) as an energy storage system (ESS). Other ESS types include batteries an</w:t>
      </w:r>
      <w:r w:rsidR="003A7BB2" w:rsidRPr="00BF5140">
        <w:rPr>
          <w:rFonts w:cstheme="minorHAnsi"/>
        </w:rPr>
        <w:t>d</w:t>
      </w:r>
      <w:r w:rsidR="00BA0CC9" w:rsidRPr="00BF5140">
        <w:rPr>
          <w:rFonts w:cstheme="minorHAnsi"/>
        </w:rPr>
        <w:t xml:space="preserve"> pumped hydro.</w:t>
      </w:r>
    </w:p>
    <w:p w14:paraId="298F64D5" w14:textId="6610E41C" w:rsidR="00BA0CC9" w:rsidRPr="00BF5140" w:rsidRDefault="00BA0CC9" w:rsidP="00D9340A">
      <w:pPr>
        <w:spacing w:after="120" w:line="340" w:lineRule="exact"/>
        <w:rPr>
          <w:rFonts w:cstheme="minorHAnsi"/>
        </w:rPr>
      </w:pPr>
      <w:r w:rsidRPr="00BF5140">
        <w:rPr>
          <w:rFonts w:cstheme="minorHAnsi"/>
        </w:rPr>
        <w:t xml:space="preserve">AEMO has identified </w:t>
      </w:r>
      <w:proofErr w:type="gramStart"/>
      <w:r w:rsidRPr="00BF5140">
        <w:rPr>
          <w:rFonts w:cstheme="minorHAnsi"/>
        </w:rPr>
        <w:t>a number of</w:t>
      </w:r>
      <w:proofErr w:type="gramEnd"/>
      <w:r w:rsidRPr="00BF5140">
        <w:rPr>
          <w:rFonts w:cstheme="minorHAnsi"/>
        </w:rPr>
        <w:t xml:space="preserve"> </w:t>
      </w:r>
      <w:r w:rsidR="00E973A6" w:rsidRPr="00BF5140">
        <w:rPr>
          <w:rFonts w:cstheme="minorHAnsi"/>
        </w:rPr>
        <w:t>anomalies</w:t>
      </w:r>
      <w:r w:rsidRPr="00BF5140">
        <w:rPr>
          <w:rFonts w:cstheme="minorHAnsi"/>
        </w:rPr>
        <w:t xml:space="preserve"> and inefficiencies with the </w:t>
      </w:r>
      <w:r w:rsidR="00E973A6" w:rsidRPr="00BF5140">
        <w:rPr>
          <w:rFonts w:cstheme="minorHAnsi"/>
        </w:rPr>
        <w:t>current</w:t>
      </w:r>
      <w:r w:rsidRPr="00BF5140">
        <w:rPr>
          <w:rFonts w:cstheme="minorHAnsi"/>
        </w:rPr>
        <w:t xml:space="preserve"> regulatory </w:t>
      </w:r>
      <w:r w:rsidR="00E973A6" w:rsidRPr="00BF5140">
        <w:rPr>
          <w:rFonts w:cstheme="minorHAnsi"/>
        </w:rPr>
        <w:t>arrangements</w:t>
      </w:r>
      <w:r w:rsidRPr="00BF5140">
        <w:rPr>
          <w:rFonts w:cstheme="minorHAnsi"/>
        </w:rPr>
        <w:t xml:space="preserve"> in the NEM for utility-</w:t>
      </w:r>
      <w:r w:rsidR="002921C9" w:rsidRPr="00BF5140">
        <w:rPr>
          <w:rFonts w:cstheme="minorHAnsi"/>
        </w:rPr>
        <w:t>scale, grid</w:t>
      </w:r>
      <w:r w:rsidRPr="00BF5140">
        <w:rPr>
          <w:rFonts w:cstheme="minorHAnsi"/>
        </w:rPr>
        <w:t>-</w:t>
      </w:r>
      <w:r w:rsidR="00E973A6" w:rsidRPr="00BF5140">
        <w:rPr>
          <w:rFonts w:cstheme="minorHAnsi"/>
        </w:rPr>
        <w:t>connected</w:t>
      </w:r>
      <w:r w:rsidRPr="00BF5140">
        <w:rPr>
          <w:rFonts w:cstheme="minorHAnsi"/>
        </w:rPr>
        <w:t xml:space="preserve"> ESSs</w:t>
      </w:r>
      <w:r w:rsidR="00C47738" w:rsidRPr="00BF5140">
        <w:rPr>
          <w:rFonts w:cstheme="minorHAnsi"/>
        </w:rPr>
        <w:t xml:space="preserve">. </w:t>
      </w:r>
      <w:r w:rsidR="00927BDE" w:rsidRPr="00BF5140">
        <w:rPr>
          <w:rFonts w:cstheme="minorHAnsi"/>
        </w:rPr>
        <w:t xml:space="preserve">To address this, they have lodged a rule change </w:t>
      </w:r>
      <w:r w:rsidR="00E973A6" w:rsidRPr="00BF5140">
        <w:rPr>
          <w:rFonts w:cstheme="minorHAnsi"/>
        </w:rPr>
        <w:t>proposal</w:t>
      </w:r>
      <w:r w:rsidR="00927BDE" w:rsidRPr="00BF5140">
        <w:rPr>
          <w:rFonts w:cstheme="minorHAnsi"/>
        </w:rPr>
        <w:t xml:space="preserve"> with AEMC</w:t>
      </w:r>
      <w:r w:rsidR="00FF3F5A" w:rsidRPr="00BF5140">
        <w:rPr>
          <w:rStyle w:val="EndnoteReference"/>
          <w:rFonts w:cstheme="minorHAnsi"/>
        </w:rPr>
        <w:endnoteReference w:id="6"/>
      </w:r>
      <w:r w:rsidR="00F93333" w:rsidRPr="00BF5140">
        <w:rPr>
          <w:rFonts w:cstheme="minorHAnsi"/>
        </w:rPr>
        <w:t xml:space="preserve">. </w:t>
      </w:r>
      <w:r w:rsidR="0036002F" w:rsidRPr="00BF5140">
        <w:rPr>
          <w:rFonts w:cstheme="minorHAnsi"/>
        </w:rPr>
        <w:t>The rule change is currently “pending” so the process has not commenced yet.</w:t>
      </w:r>
    </w:p>
    <w:p w14:paraId="2EA54546" w14:textId="6EE915D9" w:rsidR="00F93333" w:rsidRPr="00BF5140" w:rsidRDefault="00F93333" w:rsidP="00D9340A">
      <w:pPr>
        <w:spacing w:after="120" w:line="340" w:lineRule="exact"/>
        <w:rPr>
          <w:rFonts w:cstheme="minorHAnsi"/>
        </w:rPr>
      </w:pPr>
      <w:r w:rsidRPr="00BF5140">
        <w:rPr>
          <w:rFonts w:cstheme="minorHAnsi"/>
        </w:rPr>
        <w:t xml:space="preserve">The current arrangements require </w:t>
      </w:r>
      <w:r w:rsidR="00812BA8" w:rsidRPr="00BF5140">
        <w:rPr>
          <w:rFonts w:cstheme="minorHAnsi"/>
        </w:rPr>
        <w:t xml:space="preserve">a large-scale ESS to register as both a generator (so it can export to the grid) and </w:t>
      </w:r>
      <w:r w:rsidR="005971BC" w:rsidRPr="00BF5140">
        <w:rPr>
          <w:rFonts w:cstheme="minorHAnsi"/>
        </w:rPr>
        <w:t>a market customer (so it can import to the grid). This creates an additional regulatory burden</w:t>
      </w:r>
      <w:r w:rsidR="0036002F" w:rsidRPr="00BF5140">
        <w:rPr>
          <w:rFonts w:cstheme="minorHAnsi"/>
        </w:rPr>
        <w:t>, including the following issues:</w:t>
      </w:r>
    </w:p>
    <w:p w14:paraId="67C44BC2" w14:textId="46F37516" w:rsidR="0036002F" w:rsidRPr="00BF5140" w:rsidRDefault="0036002F" w:rsidP="00D9340A">
      <w:pPr>
        <w:spacing w:after="120" w:line="340" w:lineRule="exact"/>
        <w:rPr>
          <w:rFonts w:cstheme="minorHAnsi"/>
        </w:rPr>
      </w:pPr>
      <w:r w:rsidRPr="00BF5140">
        <w:rPr>
          <w:rFonts w:cstheme="minorHAnsi"/>
        </w:rPr>
        <w:t>•</w:t>
      </w:r>
      <w:r w:rsidRPr="00BF5140">
        <w:rPr>
          <w:rFonts w:cstheme="minorHAnsi"/>
        </w:rPr>
        <w:tab/>
        <w:t xml:space="preserve">Lack of clarity in regarding how to register and participate in the NEM. Currently, ESS proponents need to refer to various AEMO explanatory guidelines and factsheets to understand how their facilities may participate in the NEM. </w:t>
      </w:r>
    </w:p>
    <w:p w14:paraId="4A7B9DC0" w14:textId="21207D11" w:rsidR="0036002F" w:rsidRPr="00BF5140" w:rsidRDefault="0036002F" w:rsidP="00D9340A">
      <w:pPr>
        <w:spacing w:after="120" w:line="340" w:lineRule="exact"/>
        <w:rPr>
          <w:rFonts w:cstheme="minorHAnsi"/>
        </w:rPr>
      </w:pPr>
      <w:r w:rsidRPr="00BF5140">
        <w:rPr>
          <w:rFonts w:cstheme="minorHAnsi"/>
        </w:rPr>
        <w:t>•</w:t>
      </w:r>
      <w:r w:rsidRPr="00BF5140">
        <w:rPr>
          <w:rFonts w:cstheme="minorHAnsi"/>
        </w:rPr>
        <w:tab/>
        <w:t>Increased operational complexity and inefficiency involved in treating a single asset as two components.</w:t>
      </w:r>
      <w:r w:rsidR="00945346" w:rsidRPr="00BF5140">
        <w:rPr>
          <w:rFonts w:cstheme="minorHAnsi"/>
        </w:rPr>
        <w:t>, such as having to s</w:t>
      </w:r>
      <w:r w:rsidRPr="00BF5140">
        <w:rPr>
          <w:rFonts w:cstheme="minorHAnsi"/>
        </w:rPr>
        <w:t>ubmit separate energy bids</w:t>
      </w:r>
      <w:r w:rsidR="00691F00" w:rsidRPr="00BF5140">
        <w:rPr>
          <w:rFonts w:cstheme="minorHAnsi"/>
        </w:rPr>
        <w:t>/</w:t>
      </w:r>
      <w:r w:rsidRPr="00BF5140">
        <w:rPr>
          <w:rFonts w:cstheme="minorHAnsi"/>
        </w:rPr>
        <w:t>offers</w:t>
      </w:r>
      <w:r w:rsidR="00691F00" w:rsidRPr="00BF5140">
        <w:rPr>
          <w:rFonts w:cstheme="minorHAnsi"/>
        </w:rPr>
        <w:t xml:space="preserve"> and FCAS offers</w:t>
      </w:r>
      <w:r w:rsidRPr="00BF5140">
        <w:rPr>
          <w:rFonts w:cstheme="minorHAnsi"/>
        </w:rPr>
        <w:t xml:space="preserve"> </w:t>
      </w:r>
      <w:r w:rsidR="00691F00" w:rsidRPr="00BF5140">
        <w:rPr>
          <w:rFonts w:cstheme="minorHAnsi"/>
        </w:rPr>
        <w:t xml:space="preserve">and </w:t>
      </w:r>
      <w:r w:rsidRPr="00BF5140">
        <w:rPr>
          <w:rFonts w:cstheme="minorHAnsi"/>
        </w:rPr>
        <w:t>for the scheduled load and scheduled generating unit</w:t>
      </w:r>
      <w:r w:rsidR="000811DF" w:rsidRPr="00BF5140">
        <w:rPr>
          <w:rFonts w:cstheme="minorHAnsi"/>
        </w:rPr>
        <w:t xml:space="preserve">; </w:t>
      </w:r>
    </w:p>
    <w:p w14:paraId="035FB781" w14:textId="77777777" w:rsidR="0036002F" w:rsidRPr="00BF5140" w:rsidRDefault="0036002F" w:rsidP="00D9340A">
      <w:pPr>
        <w:spacing w:after="120" w:line="340" w:lineRule="exact"/>
        <w:rPr>
          <w:rFonts w:cstheme="minorHAnsi"/>
        </w:rPr>
      </w:pPr>
      <w:r w:rsidRPr="00BF5140">
        <w:rPr>
          <w:rFonts w:cstheme="minorHAnsi"/>
        </w:rPr>
        <w:t>•</w:t>
      </w:r>
      <w:r w:rsidRPr="00BF5140">
        <w:rPr>
          <w:rFonts w:cstheme="minorHAnsi"/>
        </w:rPr>
        <w:tab/>
        <w:t>Technical requirements (applicable at the grid connection point) that are not symmetrical for the same asset, e.g. ramp rates.</w:t>
      </w:r>
    </w:p>
    <w:p w14:paraId="7EF81F96" w14:textId="7C43893F" w:rsidR="0036002F" w:rsidRPr="00BF5140" w:rsidRDefault="0036002F" w:rsidP="00D9340A">
      <w:pPr>
        <w:spacing w:after="120" w:line="340" w:lineRule="exact"/>
        <w:rPr>
          <w:rFonts w:cstheme="minorHAnsi"/>
        </w:rPr>
      </w:pPr>
      <w:r w:rsidRPr="00BF5140">
        <w:rPr>
          <w:rFonts w:cstheme="minorHAnsi"/>
        </w:rPr>
        <w:t>•</w:t>
      </w:r>
      <w:r w:rsidRPr="00BF5140">
        <w:rPr>
          <w:rFonts w:cstheme="minorHAnsi"/>
        </w:rPr>
        <w:tab/>
        <w:t>Complicated IT arrangements for registered participants and AEMO.</w:t>
      </w:r>
    </w:p>
    <w:p w14:paraId="054E89B2" w14:textId="7B9A1CC0" w:rsidR="00DD23AB" w:rsidRPr="00BF5140" w:rsidRDefault="00DD23AB" w:rsidP="00D9340A">
      <w:pPr>
        <w:spacing w:after="120" w:line="340" w:lineRule="exact"/>
        <w:rPr>
          <w:rFonts w:cstheme="minorHAnsi"/>
        </w:rPr>
      </w:pPr>
      <w:r w:rsidRPr="00BF5140">
        <w:rPr>
          <w:rFonts w:cstheme="minorHAnsi"/>
        </w:rPr>
        <w:t xml:space="preserve">There is also ambiguity about whether an ESS should pay transmission use of system (TUOS) charges. In some </w:t>
      </w:r>
      <w:r w:rsidR="002921C9" w:rsidRPr="00BF5140">
        <w:rPr>
          <w:rFonts w:cstheme="minorHAnsi"/>
        </w:rPr>
        <w:t>cases,</w:t>
      </w:r>
      <w:r w:rsidRPr="00BF5140">
        <w:rPr>
          <w:rFonts w:cstheme="minorHAnsi"/>
        </w:rPr>
        <w:t xml:space="preserve"> it seems TNSPs are charging them for TUOS as they are registered as a customer.</w:t>
      </w:r>
      <w:r w:rsidR="003C7E33" w:rsidRPr="00BF5140">
        <w:rPr>
          <w:rFonts w:cstheme="minorHAnsi"/>
        </w:rPr>
        <w:t xml:space="preserve"> AEMO also charges </w:t>
      </w:r>
      <w:r w:rsidR="00393CDF" w:rsidRPr="00BF5140">
        <w:rPr>
          <w:rFonts w:cstheme="minorHAnsi"/>
        </w:rPr>
        <w:t xml:space="preserve">them </w:t>
      </w:r>
      <w:r w:rsidR="000F1135" w:rsidRPr="00BF5140">
        <w:rPr>
          <w:rFonts w:cstheme="minorHAnsi"/>
        </w:rPr>
        <w:t>various fees and</w:t>
      </w:r>
      <w:r w:rsidR="00804490" w:rsidRPr="00BF5140">
        <w:rPr>
          <w:rFonts w:cstheme="minorHAnsi"/>
        </w:rPr>
        <w:t xml:space="preserve"> a</w:t>
      </w:r>
      <w:r w:rsidR="000F1135" w:rsidRPr="00BF5140">
        <w:rPr>
          <w:rFonts w:cstheme="minorHAnsi"/>
        </w:rPr>
        <w:t xml:space="preserve"> share of </w:t>
      </w:r>
      <w:r w:rsidR="00804490" w:rsidRPr="00BF5140">
        <w:rPr>
          <w:rFonts w:cstheme="minorHAnsi"/>
        </w:rPr>
        <w:t xml:space="preserve">ancillary service </w:t>
      </w:r>
      <w:r w:rsidR="000F1135" w:rsidRPr="00BF5140">
        <w:rPr>
          <w:rFonts w:cstheme="minorHAnsi"/>
        </w:rPr>
        <w:t xml:space="preserve">costs as both a generator and a </w:t>
      </w:r>
      <w:r w:rsidR="00E9248F" w:rsidRPr="00BF5140">
        <w:rPr>
          <w:rFonts w:cstheme="minorHAnsi"/>
        </w:rPr>
        <w:t>customer</w:t>
      </w:r>
      <w:r w:rsidR="00804490" w:rsidRPr="00BF5140">
        <w:rPr>
          <w:rFonts w:cstheme="minorHAnsi"/>
        </w:rPr>
        <w:t xml:space="preserve">, although AEMO does not consider there is any </w:t>
      </w:r>
      <w:r w:rsidR="002921C9" w:rsidRPr="00BF5140">
        <w:rPr>
          <w:rFonts w:cstheme="minorHAnsi"/>
        </w:rPr>
        <w:t>double counting</w:t>
      </w:r>
      <w:r w:rsidR="00804490" w:rsidRPr="00BF5140">
        <w:rPr>
          <w:rFonts w:cstheme="minorHAnsi"/>
        </w:rPr>
        <w:t xml:space="preserve"> in this</w:t>
      </w:r>
      <w:r w:rsidR="00E9248F" w:rsidRPr="00BF5140">
        <w:rPr>
          <w:rFonts w:cstheme="minorHAnsi"/>
        </w:rPr>
        <w:t>.</w:t>
      </w:r>
    </w:p>
    <w:p w14:paraId="360031CD" w14:textId="24C73AED" w:rsidR="00911FC3" w:rsidRPr="00BF5140" w:rsidRDefault="00911FC3" w:rsidP="00D9340A">
      <w:pPr>
        <w:spacing w:after="120" w:line="340" w:lineRule="exact"/>
        <w:rPr>
          <w:rFonts w:cstheme="minorHAnsi"/>
        </w:rPr>
      </w:pPr>
      <w:r w:rsidRPr="00BF5140">
        <w:rPr>
          <w:rFonts w:cstheme="minorHAnsi"/>
        </w:rPr>
        <w:t xml:space="preserve">AEMO’s proposal (noting that even if the AEMC do consider the issues merit a change to the rules, they may choose to make a “more preferable” version of the rule) is to </w:t>
      </w:r>
      <w:r w:rsidR="00E973A6" w:rsidRPr="00BF5140">
        <w:rPr>
          <w:rFonts w:cstheme="minorHAnsi"/>
        </w:rPr>
        <w:t>create</w:t>
      </w:r>
      <w:r w:rsidRPr="00BF5140">
        <w:rPr>
          <w:rFonts w:cstheme="minorHAnsi"/>
        </w:rPr>
        <w:t xml:space="preserve"> a new registration category for ESSs that they term a bi-</w:t>
      </w:r>
      <w:r w:rsidR="00E973A6" w:rsidRPr="00BF5140">
        <w:rPr>
          <w:rFonts w:cstheme="minorHAnsi"/>
        </w:rPr>
        <w:t>directional</w:t>
      </w:r>
      <w:r w:rsidRPr="00BF5140">
        <w:rPr>
          <w:rFonts w:cstheme="minorHAnsi"/>
        </w:rPr>
        <w:t xml:space="preserve"> resource provider (BRP). This would address many of the regulatory </w:t>
      </w:r>
      <w:r w:rsidR="00E973A6" w:rsidRPr="00BF5140">
        <w:rPr>
          <w:rFonts w:cstheme="minorHAnsi"/>
        </w:rPr>
        <w:t>issues</w:t>
      </w:r>
      <w:r w:rsidRPr="00BF5140">
        <w:rPr>
          <w:rFonts w:cstheme="minorHAnsi"/>
        </w:rPr>
        <w:t xml:space="preserve"> above. They propose that BRPs would not pay TUOS (although a BRP connected to the distribution network would pay DUOS). </w:t>
      </w:r>
    </w:p>
    <w:p w14:paraId="501E506C" w14:textId="12B7DD3C" w:rsidR="00911FC3" w:rsidRPr="00BF5140" w:rsidRDefault="00E973A6" w:rsidP="00D9340A">
      <w:pPr>
        <w:spacing w:after="120" w:line="340" w:lineRule="exact"/>
        <w:rPr>
          <w:rFonts w:cstheme="minorHAnsi"/>
        </w:rPr>
      </w:pPr>
      <w:r w:rsidRPr="00BF5140">
        <w:rPr>
          <w:rFonts w:cstheme="minorHAnsi"/>
        </w:rPr>
        <w:t>Importantly</w:t>
      </w:r>
      <w:r w:rsidR="00911FC3" w:rsidRPr="00BF5140">
        <w:rPr>
          <w:rFonts w:cstheme="minorHAnsi"/>
        </w:rPr>
        <w:t xml:space="preserve"> for hydrogen, AEMO’s proposal also covers what they call “hybrid” connections, where an ESS is co-</w:t>
      </w:r>
      <w:r w:rsidRPr="00BF5140">
        <w:rPr>
          <w:rFonts w:cstheme="minorHAnsi"/>
        </w:rPr>
        <w:t>located</w:t>
      </w:r>
      <w:r w:rsidR="00911FC3" w:rsidRPr="00BF5140">
        <w:rPr>
          <w:rFonts w:cstheme="minorHAnsi"/>
        </w:rPr>
        <w:t xml:space="preserve"> with either a generator or a large load</w:t>
      </w:r>
      <w:r w:rsidR="00432262" w:rsidRPr="00BF5140">
        <w:rPr>
          <w:rFonts w:cstheme="minorHAnsi"/>
        </w:rPr>
        <w:t xml:space="preserve">, or both. The generator + ESS combination appears likely </w:t>
      </w:r>
      <w:r w:rsidR="002921C9" w:rsidRPr="00BF5140">
        <w:rPr>
          <w:rFonts w:cstheme="minorHAnsi"/>
        </w:rPr>
        <w:t>in the</w:t>
      </w:r>
      <w:r w:rsidR="00432262" w:rsidRPr="00BF5140">
        <w:rPr>
          <w:rFonts w:cstheme="minorHAnsi"/>
        </w:rPr>
        <w:t xml:space="preserve"> case of a </w:t>
      </w:r>
      <w:r w:rsidR="004D457D" w:rsidRPr="00BF5140">
        <w:rPr>
          <w:rFonts w:cstheme="minorHAnsi"/>
        </w:rPr>
        <w:t>hydrogen based</w:t>
      </w:r>
      <w:r w:rsidR="00432262" w:rsidRPr="00BF5140">
        <w:rPr>
          <w:rFonts w:cstheme="minorHAnsi"/>
        </w:rPr>
        <w:t xml:space="preserve"> ESS.</w:t>
      </w:r>
      <w:r w:rsidR="005C53C9" w:rsidRPr="00BF5140">
        <w:rPr>
          <w:rFonts w:cstheme="minorHAnsi"/>
        </w:rPr>
        <w:t xml:space="preserve"> </w:t>
      </w:r>
      <w:r w:rsidR="00E72DCD" w:rsidRPr="00BF5140">
        <w:rPr>
          <w:rFonts w:cstheme="minorHAnsi"/>
        </w:rPr>
        <w:t xml:space="preserve">There will need to be some </w:t>
      </w:r>
      <w:r w:rsidR="00E72DCD" w:rsidRPr="00BF5140">
        <w:rPr>
          <w:rFonts w:cstheme="minorHAnsi"/>
        </w:rPr>
        <w:lastRenderedPageBreak/>
        <w:t xml:space="preserve">management of hybrid registration </w:t>
      </w:r>
      <w:r w:rsidR="00E206C6" w:rsidRPr="00BF5140">
        <w:rPr>
          <w:rFonts w:cstheme="minorHAnsi"/>
        </w:rPr>
        <w:t xml:space="preserve">so that a large user could not game the registration system </w:t>
      </w:r>
      <w:r w:rsidR="00423309" w:rsidRPr="00BF5140">
        <w:rPr>
          <w:rFonts w:cstheme="minorHAnsi"/>
        </w:rPr>
        <w:t>by adding a small ESS, claiming they are now a hybrid BRP and avoiding TUOS</w:t>
      </w:r>
      <w:r w:rsidR="00F2463E" w:rsidRPr="00BF5140">
        <w:rPr>
          <w:rFonts w:cstheme="minorHAnsi"/>
        </w:rPr>
        <w:t>, but this is a matter of detail.</w:t>
      </w:r>
    </w:p>
    <w:p w14:paraId="03C10221" w14:textId="48BA9C63" w:rsidR="009A7792" w:rsidRPr="00BF5140" w:rsidRDefault="009A7792" w:rsidP="00D9340A">
      <w:pPr>
        <w:spacing w:after="120" w:line="340" w:lineRule="exact"/>
        <w:rPr>
          <w:rFonts w:cstheme="minorHAnsi"/>
        </w:rPr>
      </w:pPr>
      <w:r w:rsidRPr="00BF5140">
        <w:rPr>
          <w:rFonts w:cstheme="minorHAnsi"/>
        </w:rPr>
        <w:t xml:space="preserve">In </w:t>
      </w:r>
      <w:r w:rsidR="002921C9" w:rsidRPr="00BF5140">
        <w:rPr>
          <w:rFonts w:cstheme="minorHAnsi"/>
        </w:rPr>
        <w:t>general,</w:t>
      </w:r>
      <w:r w:rsidRPr="00BF5140">
        <w:rPr>
          <w:rFonts w:cstheme="minorHAnsi"/>
        </w:rPr>
        <w:t xml:space="preserve"> the </w:t>
      </w:r>
      <w:r w:rsidR="00E973A6" w:rsidRPr="00BF5140">
        <w:rPr>
          <w:rFonts w:cstheme="minorHAnsi"/>
        </w:rPr>
        <w:t>A</w:t>
      </w:r>
      <w:r w:rsidR="0019135C" w:rsidRPr="00BF5140">
        <w:rPr>
          <w:rFonts w:cstheme="minorHAnsi"/>
        </w:rPr>
        <w:t xml:space="preserve">EMO proposal would be a positive regulatory reform for all ESS types, including hydrogen and is an obvious area for advocacy by hydrogen </w:t>
      </w:r>
      <w:r w:rsidR="00E973A6" w:rsidRPr="00BF5140">
        <w:rPr>
          <w:rFonts w:cstheme="minorHAnsi"/>
        </w:rPr>
        <w:t>proponents</w:t>
      </w:r>
      <w:r w:rsidR="0019135C" w:rsidRPr="00BF5140">
        <w:rPr>
          <w:rFonts w:cstheme="minorHAnsi"/>
        </w:rPr>
        <w:t>.</w:t>
      </w:r>
      <w:r w:rsidR="004A0B6D" w:rsidRPr="00BF5140">
        <w:rPr>
          <w:rFonts w:cstheme="minorHAnsi"/>
        </w:rPr>
        <w:t xml:space="preserve"> Given the current arrangements allow an ESS to </w:t>
      </w:r>
      <w:r w:rsidR="009D43EB" w:rsidRPr="00BF5140">
        <w:rPr>
          <w:rFonts w:cstheme="minorHAnsi"/>
        </w:rPr>
        <w:t>connect to the NEM, they are a soft rather than a hard barrier.</w:t>
      </w:r>
    </w:p>
    <w:p w14:paraId="0DE5A1A9" w14:textId="076A7737" w:rsidR="00316FC4" w:rsidRPr="00BF5140" w:rsidRDefault="0020056F" w:rsidP="00D9340A">
      <w:pPr>
        <w:spacing w:after="120" w:line="340" w:lineRule="exact"/>
        <w:rPr>
          <w:rFonts w:cstheme="minorHAnsi"/>
        </w:rPr>
      </w:pPr>
      <w:r w:rsidRPr="00BF5140">
        <w:rPr>
          <w:rFonts w:cstheme="minorHAnsi"/>
        </w:rPr>
        <w:t>Most other aspects of the NEM do not present</w:t>
      </w:r>
      <w:r w:rsidR="009D43EB" w:rsidRPr="00BF5140">
        <w:rPr>
          <w:rFonts w:cstheme="minorHAnsi"/>
        </w:rPr>
        <w:t xml:space="preserve"> material soft barriers to </w:t>
      </w:r>
      <w:r w:rsidR="00CE7D2E" w:rsidRPr="00BF5140">
        <w:rPr>
          <w:rFonts w:cstheme="minorHAnsi"/>
        </w:rPr>
        <w:t xml:space="preserve">a hydrogen ESS project. Any ESS needs </w:t>
      </w:r>
      <w:r w:rsidR="00B92FB0" w:rsidRPr="00BF5140">
        <w:rPr>
          <w:rFonts w:cstheme="minorHAnsi"/>
        </w:rPr>
        <w:t xml:space="preserve">a strong </w:t>
      </w:r>
      <w:r w:rsidR="00175A88" w:rsidRPr="00BF5140">
        <w:rPr>
          <w:rFonts w:cstheme="minorHAnsi"/>
        </w:rPr>
        <w:t xml:space="preserve">arbitrage </w:t>
      </w:r>
      <w:r w:rsidR="00B92FB0" w:rsidRPr="00BF5140">
        <w:rPr>
          <w:rFonts w:cstheme="minorHAnsi"/>
        </w:rPr>
        <w:t xml:space="preserve">signal for </w:t>
      </w:r>
      <w:r w:rsidR="00175A88" w:rsidRPr="00BF5140">
        <w:rPr>
          <w:rFonts w:cstheme="minorHAnsi"/>
        </w:rPr>
        <w:t>the value of its storage role</w:t>
      </w:r>
      <w:r w:rsidR="00151730" w:rsidRPr="00BF5140">
        <w:rPr>
          <w:rFonts w:cstheme="minorHAnsi"/>
        </w:rPr>
        <w:t>. The NEM’s energy-only market with high price cap</w:t>
      </w:r>
      <w:r w:rsidR="007F0507" w:rsidRPr="00BF5140">
        <w:rPr>
          <w:rFonts w:cstheme="minorHAnsi"/>
        </w:rPr>
        <w:t xml:space="preserve"> </w:t>
      </w:r>
      <w:r w:rsidR="00D41DD4" w:rsidRPr="00BF5140">
        <w:rPr>
          <w:rFonts w:cstheme="minorHAnsi"/>
        </w:rPr>
        <w:t>($</w:t>
      </w:r>
      <w:r w:rsidR="00F71F6D" w:rsidRPr="00BF5140">
        <w:rPr>
          <w:rFonts w:cstheme="minorHAnsi"/>
        </w:rPr>
        <w:t>15,000</w:t>
      </w:r>
      <w:r w:rsidR="00D41DD4" w:rsidRPr="00BF5140">
        <w:rPr>
          <w:rFonts w:cstheme="minorHAnsi"/>
        </w:rPr>
        <w:t xml:space="preserve">/MWh) </w:t>
      </w:r>
      <w:r w:rsidR="007F0507" w:rsidRPr="00BF5140">
        <w:rPr>
          <w:rFonts w:cstheme="minorHAnsi"/>
        </w:rPr>
        <w:t xml:space="preserve">and </w:t>
      </w:r>
      <w:proofErr w:type="gramStart"/>
      <w:r w:rsidR="007F0507" w:rsidRPr="00BF5140">
        <w:rPr>
          <w:rFonts w:cstheme="minorHAnsi"/>
        </w:rPr>
        <w:t>low price</w:t>
      </w:r>
      <w:proofErr w:type="gramEnd"/>
      <w:r w:rsidR="007F0507" w:rsidRPr="00BF5140">
        <w:rPr>
          <w:rFonts w:cstheme="minorHAnsi"/>
        </w:rPr>
        <w:t xml:space="preserve"> floor</w:t>
      </w:r>
      <w:r w:rsidR="00D41DD4" w:rsidRPr="00BF5140">
        <w:rPr>
          <w:rFonts w:cstheme="minorHAnsi"/>
        </w:rPr>
        <w:t>($-1,000/MWh)</w:t>
      </w:r>
      <w:r w:rsidR="007F0507" w:rsidRPr="00BF5140">
        <w:rPr>
          <w:rFonts w:cstheme="minorHAnsi"/>
        </w:rPr>
        <w:t xml:space="preserve"> </w:t>
      </w:r>
      <w:r w:rsidR="005F4AD2" w:rsidRPr="00BF5140">
        <w:rPr>
          <w:rFonts w:cstheme="minorHAnsi"/>
        </w:rPr>
        <w:t>leave</w:t>
      </w:r>
      <w:r w:rsidR="007F0507" w:rsidRPr="00BF5140">
        <w:rPr>
          <w:rFonts w:cstheme="minorHAnsi"/>
        </w:rPr>
        <w:t xml:space="preserve"> significant scope for arbitrage. Arguably the arbitrage role would be better supported </w:t>
      </w:r>
      <w:r w:rsidR="00E753E1" w:rsidRPr="00BF5140">
        <w:rPr>
          <w:rFonts w:cstheme="minorHAnsi"/>
        </w:rPr>
        <w:t xml:space="preserve">by </w:t>
      </w:r>
      <w:r w:rsidR="007B0088" w:rsidRPr="00BF5140">
        <w:rPr>
          <w:rFonts w:cstheme="minorHAnsi"/>
        </w:rPr>
        <w:t xml:space="preserve">raising or </w:t>
      </w:r>
      <w:r w:rsidR="00E753E1" w:rsidRPr="00BF5140">
        <w:rPr>
          <w:rFonts w:cstheme="minorHAnsi"/>
        </w:rPr>
        <w:t>removal of the price cap</w:t>
      </w:r>
      <w:r w:rsidR="007B0088" w:rsidRPr="00BF5140">
        <w:rPr>
          <w:rFonts w:cstheme="minorHAnsi"/>
        </w:rPr>
        <w:t xml:space="preserve">. Previous academic research </w:t>
      </w:r>
      <w:r w:rsidR="004633BA" w:rsidRPr="00BF5140">
        <w:rPr>
          <w:rFonts w:cstheme="minorHAnsi"/>
        </w:rPr>
        <w:t xml:space="preserve">has identified that an efficient price cap </w:t>
      </w:r>
      <w:r w:rsidR="00D41DD4" w:rsidRPr="00BF5140">
        <w:rPr>
          <w:rFonts w:cstheme="minorHAnsi"/>
        </w:rPr>
        <w:t>under a high renewables mix could be in the order of $60,000/MWh</w:t>
      </w:r>
      <w:r w:rsidR="00BE253D" w:rsidRPr="00BF5140">
        <w:rPr>
          <w:rFonts w:cstheme="minorHAnsi"/>
        </w:rPr>
        <w:t xml:space="preserve">, in order to ensure reliability </w:t>
      </w:r>
      <w:r w:rsidR="008619D2" w:rsidRPr="00BF5140">
        <w:rPr>
          <w:rFonts w:cstheme="minorHAnsi"/>
        </w:rPr>
        <w:t xml:space="preserve">on </w:t>
      </w:r>
      <w:r w:rsidR="008E48CB" w:rsidRPr="00BF5140">
        <w:rPr>
          <w:rFonts w:cstheme="minorHAnsi"/>
        </w:rPr>
        <w:t>rare occasions where demand-supply balance is especially t</w:t>
      </w:r>
      <w:r w:rsidR="00867249" w:rsidRPr="00BF5140">
        <w:rPr>
          <w:rFonts w:cstheme="minorHAnsi"/>
        </w:rPr>
        <w:t>i</w:t>
      </w:r>
      <w:r w:rsidR="008E48CB" w:rsidRPr="00BF5140">
        <w:rPr>
          <w:rFonts w:cstheme="minorHAnsi"/>
        </w:rPr>
        <w:t>ght. This is the situation that a hydrogen ESS might be most relevant for – it</w:t>
      </w:r>
      <w:r w:rsidR="00867249" w:rsidRPr="00BF5140">
        <w:rPr>
          <w:rFonts w:cstheme="minorHAnsi"/>
        </w:rPr>
        <w:t xml:space="preserve"> is expected to </w:t>
      </w:r>
      <w:r w:rsidR="008E48CB" w:rsidRPr="00BF5140">
        <w:rPr>
          <w:rFonts w:cstheme="minorHAnsi"/>
        </w:rPr>
        <w:t>struggle to compete with batteries for short term storage, so is typically seen as lo</w:t>
      </w:r>
      <w:r w:rsidR="00D37B1F" w:rsidRPr="00BF5140">
        <w:rPr>
          <w:rFonts w:cstheme="minorHAnsi"/>
        </w:rPr>
        <w:t>ng-term seasonal or even multi-year storage</w:t>
      </w:r>
      <w:r w:rsidR="00181E4A" w:rsidRPr="00BF5140">
        <w:rPr>
          <w:rStyle w:val="EndnoteReference"/>
          <w:rFonts w:cstheme="minorHAnsi"/>
        </w:rPr>
        <w:endnoteReference w:id="7"/>
      </w:r>
      <w:r w:rsidR="00E95288" w:rsidRPr="00BF5140">
        <w:rPr>
          <w:rFonts w:cstheme="minorHAnsi"/>
        </w:rPr>
        <w:t xml:space="preserve">. </w:t>
      </w:r>
      <w:r w:rsidR="00A902A6" w:rsidRPr="00BF5140">
        <w:rPr>
          <w:rFonts w:cstheme="minorHAnsi"/>
        </w:rPr>
        <w:t xml:space="preserve">Arguing for the removal or </w:t>
      </w:r>
      <w:r w:rsidR="0041043D" w:rsidRPr="00BF5140">
        <w:rPr>
          <w:rFonts w:cstheme="minorHAnsi"/>
        </w:rPr>
        <w:t xml:space="preserve">at least a quadrupling of the price cap simply to support the possibility of a hydrogen ESS </w:t>
      </w:r>
      <w:r w:rsidR="00AD654B" w:rsidRPr="00BF5140">
        <w:rPr>
          <w:rFonts w:cstheme="minorHAnsi"/>
        </w:rPr>
        <w:t xml:space="preserve">is </w:t>
      </w:r>
      <w:r w:rsidR="00987CE0" w:rsidRPr="00BF5140">
        <w:rPr>
          <w:rFonts w:cstheme="minorHAnsi"/>
        </w:rPr>
        <w:t xml:space="preserve"> a case of the tail wagging the dog</w:t>
      </w:r>
      <w:r w:rsidR="00F71F6D" w:rsidRPr="00BF5140">
        <w:rPr>
          <w:rFonts w:cstheme="minorHAnsi"/>
        </w:rPr>
        <w:t>;</w:t>
      </w:r>
      <w:r w:rsidR="00987CE0" w:rsidRPr="00BF5140">
        <w:rPr>
          <w:rFonts w:cstheme="minorHAnsi"/>
        </w:rPr>
        <w:t xml:space="preserve"> however</w:t>
      </w:r>
      <w:r w:rsidR="00F71F6D" w:rsidRPr="00BF5140">
        <w:rPr>
          <w:rFonts w:cstheme="minorHAnsi"/>
        </w:rPr>
        <w:t>,</w:t>
      </w:r>
      <w:r w:rsidR="00987CE0" w:rsidRPr="00BF5140">
        <w:rPr>
          <w:rFonts w:cstheme="minorHAnsi"/>
        </w:rPr>
        <w:t xml:space="preserve"> for </w:t>
      </w:r>
      <w:r w:rsidR="005F4AD2" w:rsidRPr="00BF5140">
        <w:rPr>
          <w:rFonts w:cstheme="minorHAnsi"/>
        </w:rPr>
        <w:t>stakeholders</w:t>
      </w:r>
      <w:r w:rsidR="00987CE0" w:rsidRPr="00BF5140">
        <w:rPr>
          <w:rFonts w:cstheme="minorHAnsi"/>
        </w:rPr>
        <w:t xml:space="preserve"> who support such a move in any case, the fact that it can support emerging technologies that </w:t>
      </w:r>
      <w:r w:rsidR="005F4AD2" w:rsidRPr="00BF5140">
        <w:rPr>
          <w:rFonts w:cstheme="minorHAnsi"/>
        </w:rPr>
        <w:t>governments</w:t>
      </w:r>
      <w:r w:rsidR="00987CE0" w:rsidRPr="00BF5140">
        <w:rPr>
          <w:rFonts w:cstheme="minorHAnsi"/>
        </w:rPr>
        <w:t xml:space="preserve"> have indicated they would like to see developed </w:t>
      </w:r>
      <w:r w:rsidR="00F729B8" w:rsidRPr="00BF5140">
        <w:rPr>
          <w:rFonts w:cstheme="minorHAnsi"/>
        </w:rPr>
        <w:t>is useful.</w:t>
      </w:r>
    </w:p>
    <w:p w14:paraId="4004915C" w14:textId="43375312" w:rsidR="00B7287A" w:rsidRPr="00BF5140" w:rsidRDefault="00436A69" w:rsidP="00D9340A">
      <w:pPr>
        <w:spacing w:after="120" w:line="340" w:lineRule="exact"/>
        <w:rPr>
          <w:rFonts w:cstheme="minorHAnsi"/>
        </w:rPr>
      </w:pPr>
      <w:r w:rsidRPr="00BF5140">
        <w:rPr>
          <w:rFonts w:cstheme="minorHAnsi"/>
        </w:rPr>
        <w:t xml:space="preserve">A recent development in the NEM reform program is the COAG Energy council’s decision to </w:t>
      </w:r>
      <w:r w:rsidR="00DD78C2" w:rsidRPr="00BF5140">
        <w:rPr>
          <w:rFonts w:cstheme="minorHAnsi"/>
        </w:rPr>
        <w:t>implement a</w:t>
      </w:r>
      <w:r w:rsidR="0088251C" w:rsidRPr="00BF5140">
        <w:rPr>
          <w:rFonts w:cstheme="minorHAnsi"/>
        </w:rPr>
        <w:t>n out-of-market capacity</w:t>
      </w:r>
      <w:r w:rsidR="00DD78C2" w:rsidRPr="00BF5140">
        <w:rPr>
          <w:rFonts w:cstheme="minorHAnsi"/>
        </w:rPr>
        <w:t xml:space="preserve"> reserve</w:t>
      </w:r>
      <w:r w:rsidR="0088251C" w:rsidRPr="00BF5140">
        <w:rPr>
          <w:rFonts w:cstheme="minorHAnsi"/>
        </w:rPr>
        <w:t xml:space="preserve">. </w:t>
      </w:r>
      <w:r w:rsidR="00F44172" w:rsidRPr="00BF5140">
        <w:rPr>
          <w:rFonts w:cstheme="minorHAnsi"/>
        </w:rPr>
        <w:t>Arguably this is a</w:t>
      </w:r>
      <w:r w:rsidR="00B03FC2" w:rsidRPr="00BF5140">
        <w:rPr>
          <w:rFonts w:cstheme="minorHAnsi"/>
        </w:rPr>
        <w:t xml:space="preserve"> </w:t>
      </w:r>
      <w:r w:rsidR="005F4AD2" w:rsidRPr="00BF5140">
        <w:rPr>
          <w:rFonts w:cstheme="minorHAnsi"/>
        </w:rPr>
        <w:t>substitute</w:t>
      </w:r>
      <w:r w:rsidR="00F44172" w:rsidRPr="00BF5140">
        <w:rPr>
          <w:rFonts w:cstheme="minorHAnsi"/>
        </w:rPr>
        <w:t xml:space="preserve"> for </w:t>
      </w:r>
      <w:r w:rsidR="005F4AD2" w:rsidRPr="00BF5140">
        <w:rPr>
          <w:rFonts w:cstheme="minorHAnsi"/>
        </w:rPr>
        <w:t>a sufficiently</w:t>
      </w:r>
      <w:r w:rsidR="00F44172" w:rsidRPr="00BF5140">
        <w:rPr>
          <w:rFonts w:cstheme="minorHAnsi"/>
        </w:rPr>
        <w:t xml:space="preserve"> high price cap to attract </w:t>
      </w:r>
      <w:r w:rsidR="00AD4974" w:rsidRPr="00BF5140">
        <w:rPr>
          <w:rFonts w:cstheme="minorHAnsi"/>
        </w:rPr>
        <w:t>investment in very infrequently used resources. The reserve is understood to be effecti</w:t>
      </w:r>
      <w:r w:rsidR="005F4AD2" w:rsidRPr="00BF5140">
        <w:rPr>
          <w:rFonts w:cstheme="minorHAnsi"/>
        </w:rPr>
        <w:t>ve</w:t>
      </w:r>
      <w:r w:rsidR="00AD4974" w:rsidRPr="00BF5140">
        <w:rPr>
          <w:rFonts w:cstheme="minorHAnsi"/>
        </w:rPr>
        <w:t xml:space="preserve">ly a multi-year RERT contracting process. On the face of it there should be no barrier </w:t>
      </w:r>
      <w:r w:rsidR="00B03FC2" w:rsidRPr="00BF5140">
        <w:rPr>
          <w:rFonts w:cstheme="minorHAnsi"/>
        </w:rPr>
        <w:t>to</w:t>
      </w:r>
      <w:r w:rsidR="00F71F6D" w:rsidRPr="00BF5140">
        <w:rPr>
          <w:rFonts w:cstheme="minorHAnsi"/>
        </w:rPr>
        <w:t xml:space="preserve"> </w:t>
      </w:r>
      <w:r w:rsidR="00B03FC2" w:rsidRPr="00BF5140">
        <w:rPr>
          <w:rFonts w:cstheme="minorHAnsi"/>
        </w:rPr>
        <w:t xml:space="preserve">a hydrogen ESS participating in the </w:t>
      </w:r>
      <w:r w:rsidR="004A6B16" w:rsidRPr="00BF5140">
        <w:rPr>
          <w:rFonts w:cstheme="minorHAnsi"/>
        </w:rPr>
        <w:t xml:space="preserve">reserve procurement process and in any </w:t>
      </w:r>
      <w:r w:rsidR="002921C9" w:rsidRPr="00BF5140">
        <w:rPr>
          <w:rFonts w:cstheme="minorHAnsi"/>
        </w:rPr>
        <w:t>case,</w:t>
      </w:r>
      <w:r w:rsidR="004A6B16" w:rsidRPr="00BF5140">
        <w:rPr>
          <w:rFonts w:cstheme="minorHAnsi"/>
        </w:rPr>
        <w:t xml:space="preserve"> it is apparently intended only as an interim measure. </w:t>
      </w:r>
      <w:r w:rsidR="002921C9" w:rsidRPr="00BF5140">
        <w:rPr>
          <w:rFonts w:cstheme="minorHAnsi"/>
        </w:rPr>
        <w:t>Nevertheless,</w:t>
      </w:r>
      <w:r w:rsidR="004A6B16" w:rsidRPr="00BF5140">
        <w:rPr>
          <w:rFonts w:cstheme="minorHAnsi"/>
        </w:rPr>
        <w:t xml:space="preserve"> it would be worth checking that </w:t>
      </w:r>
      <w:r w:rsidR="00ED7F57" w:rsidRPr="00BF5140">
        <w:rPr>
          <w:rFonts w:cstheme="minorHAnsi"/>
        </w:rPr>
        <w:t xml:space="preserve">the reserve is designed in an </w:t>
      </w:r>
      <w:r w:rsidR="005F4AD2" w:rsidRPr="00BF5140">
        <w:rPr>
          <w:rFonts w:cstheme="minorHAnsi"/>
        </w:rPr>
        <w:t>appropriately</w:t>
      </w:r>
      <w:r w:rsidR="00ED7F57" w:rsidRPr="00BF5140">
        <w:rPr>
          <w:rFonts w:cstheme="minorHAnsi"/>
        </w:rPr>
        <w:t xml:space="preserve"> technology neutral manner</w:t>
      </w:r>
      <w:r w:rsidR="00B7287A" w:rsidRPr="00BF5140">
        <w:rPr>
          <w:rFonts w:cstheme="minorHAnsi"/>
        </w:rPr>
        <w:t>.</w:t>
      </w:r>
    </w:p>
    <w:p w14:paraId="3C7AC31D" w14:textId="18BBDE13" w:rsidR="00F71F6D" w:rsidRPr="00BF5140" w:rsidRDefault="00F71F6D" w:rsidP="00F71F6D">
      <w:pPr>
        <w:pBdr>
          <w:top w:val="single" w:sz="4" w:space="1" w:color="auto"/>
          <w:left w:val="single" w:sz="4" w:space="4" w:color="auto"/>
          <w:bottom w:val="single" w:sz="4" w:space="1" w:color="auto"/>
          <w:right w:val="single" w:sz="4" w:space="4" w:color="auto"/>
        </w:pBdr>
        <w:spacing w:after="120" w:line="340" w:lineRule="exact"/>
        <w:rPr>
          <w:rFonts w:cstheme="minorHAnsi"/>
        </w:rPr>
      </w:pPr>
      <w:r w:rsidRPr="00BF5140">
        <w:rPr>
          <w:rFonts w:cstheme="minorHAnsi"/>
          <w:b/>
          <w:bCs/>
        </w:rPr>
        <w:t xml:space="preserve">Action: </w:t>
      </w:r>
      <w:r w:rsidRPr="00BF5140">
        <w:rPr>
          <w:rFonts w:cstheme="minorHAnsi"/>
        </w:rPr>
        <w:t xml:space="preserve"> Outline a future vision which clarifies expectations of regulatory change / reform and who is best placed to lead change.</w:t>
      </w:r>
    </w:p>
    <w:p w14:paraId="5756A039" w14:textId="2AC82A2B" w:rsidR="004119FB" w:rsidRPr="00BF5140" w:rsidRDefault="004119FB" w:rsidP="00D9340A">
      <w:pPr>
        <w:pStyle w:val="Heading3"/>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Other issues</w:t>
      </w:r>
    </w:p>
    <w:p w14:paraId="2EA3A37A" w14:textId="1B0F3B01" w:rsidR="00436A69" w:rsidRPr="00BF5140" w:rsidRDefault="00B7287A" w:rsidP="00D9340A">
      <w:pPr>
        <w:spacing w:after="120" w:line="340" w:lineRule="exact"/>
        <w:rPr>
          <w:rFonts w:cstheme="minorHAnsi"/>
        </w:rPr>
      </w:pPr>
      <w:r w:rsidRPr="00BF5140">
        <w:rPr>
          <w:rFonts w:cstheme="minorHAnsi"/>
        </w:rPr>
        <w:t xml:space="preserve">Long-term storage will require a suitable storage medium. There are various options including conversion to liquids or solid, but </w:t>
      </w:r>
      <w:r w:rsidR="000B5A52" w:rsidRPr="00BF5140">
        <w:rPr>
          <w:rFonts w:cstheme="minorHAnsi"/>
        </w:rPr>
        <w:t xml:space="preserve">conversion adds cost and </w:t>
      </w:r>
      <w:r w:rsidR="00F102CD" w:rsidRPr="00BF5140">
        <w:rPr>
          <w:rFonts w:cstheme="minorHAnsi"/>
        </w:rPr>
        <w:t xml:space="preserve">the lowest cost </w:t>
      </w:r>
      <w:r w:rsidR="000B5A52" w:rsidRPr="00BF5140">
        <w:rPr>
          <w:rFonts w:cstheme="minorHAnsi"/>
        </w:rPr>
        <w:t>l</w:t>
      </w:r>
      <w:r w:rsidRPr="00BF5140">
        <w:rPr>
          <w:rFonts w:cstheme="minorHAnsi"/>
        </w:rPr>
        <w:t xml:space="preserve">arge-scale storage </w:t>
      </w:r>
      <w:r w:rsidR="00F102CD" w:rsidRPr="00BF5140">
        <w:rPr>
          <w:rFonts w:cstheme="minorHAnsi"/>
        </w:rPr>
        <w:t xml:space="preserve">is use of natural geological formations such as salt caverns. There is a potential </w:t>
      </w:r>
      <w:r w:rsidR="002921C9" w:rsidRPr="00BF5140">
        <w:rPr>
          <w:rFonts w:cstheme="minorHAnsi"/>
        </w:rPr>
        <w:t>read across</w:t>
      </w:r>
      <w:r w:rsidR="00F102CD" w:rsidRPr="00BF5140">
        <w:rPr>
          <w:rFonts w:cstheme="minorHAnsi"/>
        </w:rPr>
        <w:t xml:space="preserve"> to the storage </w:t>
      </w:r>
      <w:r w:rsidR="005F4AD2" w:rsidRPr="00BF5140">
        <w:rPr>
          <w:rFonts w:cstheme="minorHAnsi"/>
        </w:rPr>
        <w:t>requirements</w:t>
      </w:r>
      <w:r w:rsidR="00F102CD" w:rsidRPr="00BF5140">
        <w:rPr>
          <w:rFonts w:cstheme="minorHAnsi"/>
        </w:rPr>
        <w:t xml:space="preserve"> for CCS, however, it </w:t>
      </w:r>
      <w:r w:rsidR="005A77C3" w:rsidRPr="00BF5140">
        <w:rPr>
          <w:rFonts w:cstheme="minorHAnsi"/>
        </w:rPr>
        <w:t xml:space="preserve">is not prudent to simply </w:t>
      </w:r>
      <w:r w:rsidR="00654858" w:rsidRPr="00BF5140">
        <w:rPr>
          <w:rFonts w:cstheme="minorHAnsi"/>
        </w:rPr>
        <w:t xml:space="preserve">seek to </w:t>
      </w:r>
      <w:r w:rsidR="00373E2A" w:rsidRPr="00BF5140">
        <w:rPr>
          <w:rFonts w:cstheme="minorHAnsi"/>
        </w:rPr>
        <w:t>crowbar</w:t>
      </w:r>
      <w:r w:rsidR="00910758" w:rsidRPr="00BF5140">
        <w:rPr>
          <w:rFonts w:cstheme="minorHAnsi"/>
        </w:rPr>
        <w:t xml:space="preserve"> hydrogen into a regulatory </w:t>
      </w:r>
      <w:r w:rsidR="00373E2A" w:rsidRPr="00BF5140">
        <w:rPr>
          <w:rFonts w:cstheme="minorHAnsi"/>
        </w:rPr>
        <w:t>framework</w:t>
      </w:r>
      <w:r w:rsidR="00910758" w:rsidRPr="00BF5140">
        <w:rPr>
          <w:rFonts w:cstheme="minorHAnsi"/>
        </w:rPr>
        <w:t xml:space="preserve"> designed for carbon dioxide. </w:t>
      </w:r>
      <w:r w:rsidR="006F33D5" w:rsidRPr="00BF5140">
        <w:rPr>
          <w:rFonts w:cstheme="minorHAnsi"/>
        </w:rPr>
        <w:t xml:space="preserve">Work to confirm whether </w:t>
      </w:r>
      <w:r w:rsidR="004119FB" w:rsidRPr="00BF5140">
        <w:rPr>
          <w:rFonts w:cstheme="minorHAnsi"/>
        </w:rPr>
        <w:t xml:space="preserve">the CCS storage regulatory framework is suitable for hydrogen is </w:t>
      </w:r>
      <w:r w:rsidR="00373E2A" w:rsidRPr="00BF5140">
        <w:rPr>
          <w:rFonts w:cstheme="minorHAnsi"/>
        </w:rPr>
        <w:t>likely</w:t>
      </w:r>
      <w:r w:rsidR="004119FB" w:rsidRPr="00BF5140">
        <w:rPr>
          <w:rFonts w:cstheme="minorHAnsi"/>
        </w:rPr>
        <w:t xml:space="preserve"> required to support any advocacy to extend the framework to </w:t>
      </w:r>
      <w:r w:rsidR="00373E2A" w:rsidRPr="00BF5140">
        <w:rPr>
          <w:rFonts w:cstheme="minorHAnsi"/>
        </w:rPr>
        <w:t>hydrogen</w:t>
      </w:r>
    </w:p>
    <w:p w14:paraId="52901AF7" w14:textId="71C94546" w:rsidR="003B1F5C" w:rsidRPr="00BF5140" w:rsidRDefault="004119FB" w:rsidP="00D9340A">
      <w:pPr>
        <w:spacing w:after="120" w:line="340" w:lineRule="exact"/>
        <w:rPr>
          <w:rFonts w:cstheme="minorHAnsi"/>
        </w:rPr>
      </w:pPr>
      <w:r w:rsidRPr="00BF5140">
        <w:rPr>
          <w:rFonts w:cstheme="minorHAnsi"/>
        </w:rPr>
        <w:t xml:space="preserve">Electrolysis requires water as the </w:t>
      </w:r>
      <w:r w:rsidR="003B1F5C" w:rsidRPr="00BF5140">
        <w:rPr>
          <w:rFonts w:cstheme="minorHAnsi"/>
        </w:rPr>
        <w:t>feedstock</w:t>
      </w:r>
      <w:r w:rsidR="00A76073" w:rsidRPr="00BF5140">
        <w:rPr>
          <w:rFonts w:cstheme="minorHAnsi"/>
        </w:rPr>
        <w:t xml:space="preserve">. </w:t>
      </w:r>
      <w:r w:rsidR="00AC3F8D" w:rsidRPr="00BF5140">
        <w:rPr>
          <w:rFonts w:cstheme="minorHAnsi"/>
        </w:rPr>
        <w:t xml:space="preserve">Australian </w:t>
      </w:r>
      <w:r w:rsidR="00F41CEA" w:rsidRPr="00BF5140">
        <w:rPr>
          <w:rFonts w:cstheme="minorHAnsi"/>
        </w:rPr>
        <w:t>jurisdictions</w:t>
      </w:r>
      <w:r w:rsidR="00AC3F8D" w:rsidRPr="00BF5140">
        <w:rPr>
          <w:rFonts w:cstheme="minorHAnsi"/>
        </w:rPr>
        <w:t xml:space="preserve"> generally have a </w:t>
      </w:r>
      <w:r w:rsidR="002921C9" w:rsidRPr="00BF5140">
        <w:rPr>
          <w:rFonts w:cstheme="minorHAnsi"/>
        </w:rPr>
        <w:t>well-developed</w:t>
      </w:r>
      <w:r w:rsidR="00AC3F8D" w:rsidRPr="00BF5140">
        <w:rPr>
          <w:rFonts w:cstheme="minorHAnsi"/>
        </w:rPr>
        <w:t xml:space="preserve"> water entitlements framework</w:t>
      </w:r>
      <w:r w:rsidR="005228A0" w:rsidRPr="00BF5140">
        <w:rPr>
          <w:rFonts w:cstheme="minorHAnsi"/>
        </w:rPr>
        <w:t>, with scope for trading, but this area has not been examine</w:t>
      </w:r>
      <w:r w:rsidR="00F71F6D" w:rsidRPr="00BF5140">
        <w:rPr>
          <w:rFonts w:cstheme="minorHAnsi"/>
        </w:rPr>
        <w:t>d</w:t>
      </w:r>
      <w:r w:rsidR="005228A0" w:rsidRPr="00BF5140">
        <w:rPr>
          <w:rFonts w:cstheme="minorHAnsi"/>
        </w:rPr>
        <w:t>.</w:t>
      </w:r>
    </w:p>
    <w:p w14:paraId="39FADD07" w14:textId="599ADB87" w:rsidR="00F71F6D" w:rsidRPr="00BF5140" w:rsidRDefault="00F71F6D" w:rsidP="00F71F6D">
      <w:pPr>
        <w:pBdr>
          <w:top w:val="single" w:sz="4" w:space="1" w:color="auto"/>
          <w:left w:val="single" w:sz="4" w:space="4" w:color="auto"/>
          <w:bottom w:val="single" w:sz="4" w:space="1" w:color="auto"/>
          <w:right w:val="single" w:sz="4" w:space="4" w:color="auto"/>
        </w:pBdr>
        <w:spacing w:after="120" w:line="340" w:lineRule="exact"/>
        <w:rPr>
          <w:rFonts w:cstheme="minorHAnsi"/>
        </w:rPr>
      </w:pPr>
      <w:r w:rsidRPr="00BF5140">
        <w:rPr>
          <w:rFonts w:cstheme="minorHAnsi"/>
          <w:b/>
          <w:bCs/>
        </w:rPr>
        <w:lastRenderedPageBreak/>
        <w:t xml:space="preserve">Action: </w:t>
      </w:r>
      <w:r w:rsidRPr="00BF5140">
        <w:rPr>
          <w:rFonts w:cstheme="minorHAnsi"/>
        </w:rPr>
        <w:t xml:space="preserve"> The interactions on water resources and storage requirements requires examination.</w:t>
      </w:r>
    </w:p>
    <w:p w14:paraId="20E41A00" w14:textId="78E3AE0E" w:rsidR="009E4C88" w:rsidRPr="00BF5140" w:rsidRDefault="009E4C88" w:rsidP="00D9340A">
      <w:pPr>
        <w:pStyle w:val="Heading2"/>
        <w:spacing w:after="120" w:line="340" w:lineRule="exact"/>
        <w:rPr>
          <w:rFonts w:asciiTheme="minorHAnsi" w:hAnsiTheme="minorHAnsi" w:cstheme="minorHAnsi"/>
          <w:sz w:val="22"/>
          <w:szCs w:val="22"/>
          <w:u w:val="single"/>
        </w:rPr>
      </w:pPr>
      <w:r w:rsidRPr="00BF5140">
        <w:rPr>
          <w:rFonts w:asciiTheme="minorHAnsi" w:hAnsiTheme="minorHAnsi" w:cstheme="minorHAnsi"/>
          <w:sz w:val="22"/>
          <w:szCs w:val="22"/>
          <w:u w:val="single"/>
        </w:rPr>
        <w:t xml:space="preserve">Conclusions </w:t>
      </w:r>
    </w:p>
    <w:p w14:paraId="0C108AFB" w14:textId="5C0DA1B2" w:rsidR="00AA59A0" w:rsidRPr="00BF5140" w:rsidRDefault="00966331" w:rsidP="00D9340A">
      <w:pPr>
        <w:spacing w:after="120" w:line="340" w:lineRule="exact"/>
        <w:rPr>
          <w:rFonts w:cstheme="minorHAnsi"/>
        </w:rPr>
      </w:pPr>
      <w:r w:rsidRPr="00BF5140">
        <w:rPr>
          <w:rFonts w:cstheme="minorHAnsi"/>
        </w:rPr>
        <w:t xml:space="preserve">While the research underpinning the analysis is not exhaustive, it appears there are few if any hard barriers to </w:t>
      </w:r>
      <w:r w:rsidR="00F43732" w:rsidRPr="00BF5140">
        <w:rPr>
          <w:rFonts w:cstheme="minorHAnsi"/>
        </w:rPr>
        <w:t xml:space="preserve">the development of a hydrogen economy. This is borne out by </w:t>
      </w:r>
      <w:r w:rsidR="00A6171D" w:rsidRPr="00BF5140">
        <w:rPr>
          <w:rFonts w:cstheme="minorHAnsi"/>
        </w:rPr>
        <w:t xml:space="preserve">the policy sections of numerous hydrogen development plans, which mostly focus on </w:t>
      </w:r>
      <w:r w:rsidR="003E6616" w:rsidRPr="00BF5140">
        <w:rPr>
          <w:rFonts w:cstheme="minorHAnsi"/>
        </w:rPr>
        <w:t xml:space="preserve">standardised, consistent regulatory frameworks and a range of positive support measures such as those briefly outlined in </w:t>
      </w:r>
      <w:r w:rsidR="00E12600" w:rsidRPr="00BF5140">
        <w:rPr>
          <w:rFonts w:cstheme="minorHAnsi"/>
        </w:rPr>
        <w:t>part C of t</w:t>
      </w:r>
      <w:r w:rsidR="00384CA7" w:rsidRPr="00BF5140">
        <w:rPr>
          <w:rFonts w:cstheme="minorHAnsi"/>
        </w:rPr>
        <w:t>h</w:t>
      </w:r>
      <w:r w:rsidR="00E12600" w:rsidRPr="00BF5140">
        <w:rPr>
          <w:rFonts w:cstheme="minorHAnsi"/>
        </w:rPr>
        <w:t>e soft barriers section above.</w:t>
      </w:r>
    </w:p>
    <w:p w14:paraId="0558F682" w14:textId="4794F309" w:rsidR="00C56A17" w:rsidRPr="00BF5140" w:rsidRDefault="00C16212" w:rsidP="00D9340A">
      <w:pPr>
        <w:spacing w:after="120" w:line="340" w:lineRule="exact"/>
        <w:rPr>
          <w:rFonts w:cstheme="minorHAnsi"/>
        </w:rPr>
      </w:pPr>
      <w:r w:rsidRPr="00BF5140">
        <w:rPr>
          <w:rFonts w:cstheme="minorHAnsi"/>
        </w:rPr>
        <w:t>In terms of soft barriers</w:t>
      </w:r>
      <w:r w:rsidR="00384CA7" w:rsidRPr="00BF5140">
        <w:rPr>
          <w:rFonts w:cstheme="minorHAnsi"/>
        </w:rPr>
        <w:t xml:space="preserve">, the priorities appear to be in ensuring </w:t>
      </w:r>
      <w:r w:rsidR="00F57BB9" w:rsidRPr="00BF5140">
        <w:rPr>
          <w:rFonts w:cstheme="minorHAnsi"/>
        </w:rPr>
        <w:t xml:space="preserve">hydrogen injection into existing gas networks </w:t>
      </w:r>
      <w:r w:rsidR="00A02F83" w:rsidRPr="00BF5140">
        <w:rPr>
          <w:rFonts w:cstheme="minorHAnsi"/>
        </w:rPr>
        <w:t>is covered by the regulatory frameworks, that pipeline regulation (or the lack of it) does not inhibit</w:t>
      </w:r>
      <w:r w:rsidR="00DF0331" w:rsidRPr="00BF5140">
        <w:rPr>
          <w:rFonts w:cstheme="minorHAnsi"/>
        </w:rPr>
        <w:t xml:space="preserve"> the use of </w:t>
      </w:r>
      <w:r w:rsidR="00A02F83" w:rsidRPr="00BF5140">
        <w:rPr>
          <w:rFonts w:cstheme="minorHAnsi"/>
        </w:rPr>
        <w:t xml:space="preserve"> pipelines to </w:t>
      </w:r>
      <w:r w:rsidR="00F41CEA" w:rsidRPr="00BF5140">
        <w:rPr>
          <w:rFonts w:cstheme="minorHAnsi"/>
        </w:rPr>
        <w:t>transport</w:t>
      </w:r>
      <w:r w:rsidR="00A02F83" w:rsidRPr="00BF5140">
        <w:rPr>
          <w:rFonts w:cstheme="minorHAnsi"/>
        </w:rPr>
        <w:t xml:space="preserve"> hydrogen between different </w:t>
      </w:r>
      <w:r w:rsidR="00F41CEA" w:rsidRPr="00BF5140">
        <w:rPr>
          <w:rFonts w:cstheme="minorHAnsi"/>
        </w:rPr>
        <w:t>production</w:t>
      </w:r>
      <w:r w:rsidR="00A02F83" w:rsidRPr="00BF5140">
        <w:rPr>
          <w:rFonts w:cstheme="minorHAnsi"/>
        </w:rPr>
        <w:t xml:space="preserve">/storage/usage facilities </w:t>
      </w:r>
      <w:r w:rsidR="00330D0C" w:rsidRPr="00BF5140">
        <w:rPr>
          <w:rFonts w:cstheme="minorHAnsi"/>
        </w:rPr>
        <w:t>with potentially different owners</w:t>
      </w:r>
      <w:r w:rsidR="00DF0331" w:rsidRPr="00BF5140">
        <w:rPr>
          <w:rFonts w:cstheme="minorHAnsi"/>
        </w:rPr>
        <w:t xml:space="preserve"> at hydrogen hubs; and supporting </w:t>
      </w:r>
      <w:r w:rsidR="00FE0517" w:rsidRPr="00BF5140">
        <w:rPr>
          <w:rFonts w:cstheme="minorHAnsi"/>
        </w:rPr>
        <w:t xml:space="preserve">the development of an appropriate </w:t>
      </w:r>
      <w:r w:rsidR="00F41CEA" w:rsidRPr="00BF5140">
        <w:rPr>
          <w:rFonts w:cstheme="minorHAnsi"/>
        </w:rPr>
        <w:t>framework</w:t>
      </w:r>
      <w:r w:rsidR="00FE0517" w:rsidRPr="00BF5140">
        <w:rPr>
          <w:rFonts w:cstheme="minorHAnsi"/>
        </w:rPr>
        <w:t xml:space="preserve"> for ESSs in the NEM</w:t>
      </w:r>
      <w:r w:rsidR="002E1883" w:rsidRPr="00BF5140">
        <w:rPr>
          <w:rFonts w:cstheme="minorHAnsi"/>
        </w:rPr>
        <w:t xml:space="preserve">. Of these the first </w:t>
      </w:r>
      <w:r w:rsidR="00314DEB" w:rsidRPr="00BF5140">
        <w:rPr>
          <w:rFonts w:cstheme="minorHAnsi"/>
        </w:rPr>
        <w:t xml:space="preserve">is already being led by the ENA and </w:t>
      </w:r>
      <w:r w:rsidR="00F41CEA" w:rsidRPr="00BF5140">
        <w:rPr>
          <w:rFonts w:cstheme="minorHAnsi"/>
        </w:rPr>
        <w:t>its</w:t>
      </w:r>
      <w:r w:rsidR="00314DEB" w:rsidRPr="00BF5140">
        <w:rPr>
          <w:rFonts w:cstheme="minorHAnsi"/>
        </w:rPr>
        <w:t xml:space="preserve"> members</w:t>
      </w:r>
      <w:r w:rsidR="00C56A17" w:rsidRPr="00BF5140">
        <w:rPr>
          <w:rFonts w:cstheme="minorHAnsi"/>
        </w:rPr>
        <w:t xml:space="preserve">, so it is the other two that may need greater stakeholder focus. </w:t>
      </w:r>
    </w:p>
    <w:p w14:paraId="0EBE2B1C" w14:textId="6C175C3E" w:rsidR="009E0D07" w:rsidRPr="00BF5140" w:rsidRDefault="006E1569" w:rsidP="00D9340A">
      <w:pPr>
        <w:spacing w:after="120" w:line="340" w:lineRule="exact"/>
        <w:rPr>
          <w:rFonts w:cstheme="minorHAnsi"/>
        </w:rPr>
      </w:pPr>
      <w:r w:rsidRPr="00BF5140">
        <w:rPr>
          <w:rFonts w:cstheme="minorHAnsi"/>
        </w:rPr>
        <w:t>For the avoidance of d</w:t>
      </w:r>
      <w:r w:rsidR="007E6B16" w:rsidRPr="00BF5140">
        <w:rPr>
          <w:rFonts w:cstheme="minorHAnsi"/>
        </w:rPr>
        <w:t>o</w:t>
      </w:r>
      <w:r w:rsidRPr="00BF5140">
        <w:rPr>
          <w:rFonts w:cstheme="minorHAnsi"/>
        </w:rPr>
        <w:t xml:space="preserve">ubt this review is not </w:t>
      </w:r>
      <w:r w:rsidR="007E6B16" w:rsidRPr="00BF5140">
        <w:rPr>
          <w:rFonts w:cstheme="minorHAnsi"/>
        </w:rPr>
        <w:t>a substitute for a full legal review of potentially relevant legislation and regulation</w:t>
      </w:r>
      <w:r w:rsidR="005C3631" w:rsidRPr="00BF5140">
        <w:rPr>
          <w:rFonts w:cstheme="minorHAnsi"/>
        </w:rPr>
        <w:t xml:space="preserve"> or detailed recommendations for hydrogen-specific regulation. Accordingly</w:t>
      </w:r>
      <w:r w:rsidR="004D457D">
        <w:rPr>
          <w:rFonts w:cstheme="minorHAnsi"/>
        </w:rPr>
        <w:t>,</w:t>
      </w:r>
      <w:r w:rsidR="005C3631" w:rsidRPr="00BF5140">
        <w:rPr>
          <w:rFonts w:cstheme="minorHAnsi"/>
        </w:rPr>
        <w:t xml:space="preserve"> hydrogen </w:t>
      </w:r>
      <w:r w:rsidR="00A03E15" w:rsidRPr="00BF5140">
        <w:rPr>
          <w:rFonts w:cstheme="minorHAnsi"/>
        </w:rPr>
        <w:t>proponents</w:t>
      </w:r>
      <w:r w:rsidR="005C3631" w:rsidRPr="00BF5140">
        <w:rPr>
          <w:rFonts w:cstheme="minorHAnsi"/>
        </w:rPr>
        <w:t xml:space="preserve"> may wish to advocate for prioritisation of such a review, along the lines set out by Clayton &amp; Utz in their </w:t>
      </w:r>
      <w:r w:rsidR="00A03E15" w:rsidRPr="00BF5140">
        <w:rPr>
          <w:rFonts w:cstheme="minorHAnsi"/>
        </w:rPr>
        <w:t>paper</w:t>
      </w:r>
      <w:r w:rsidR="005C3631" w:rsidRPr="00BF5140">
        <w:rPr>
          <w:rFonts w:cstheme="minorHAnsi"/>
        </w:rPr>
        <w:t xml:space="preserve"> for the </w:t>
      </w:r>
      <w:r w:rsidR="00A03E15" w:rsidRPr="00BF5140">
        <w:rPr>
          <w:rFonts w:cstheme="minorHAnsi"/>
        </w:rPr>
        <w:t>Australian</w:t>
      </w:r>
      <w:r w:rsidR="005C3631" w:rsidRPr="00BF5140">
        <w:rPr>
          <w:rFonts w:cstheme="minorHAnsi"/>
        </w:rPr>
        <w:t xml:space="preserve"> </w:t>
      </w:r>
      <w:r w:rsidR="00A03E15" w:rsidRPr="00BF5140">
        <w:rPr>
          <w:rFonts w:cstheme="minorHAnsi"/>
        </w:rPr>
        <w:t>H</w:t>
      </w:r>
      <w:r w:rsidR="005C3631" w:rsidRPr="00BF5140">
        <w:rPr>
          <w:rFonts w:cstheme="minorHAnsi"/>
        </w:rPr>
        <w:t>ydrogen Strategy</w:t>
      </w:r>
      <w:r w:rsidR="002311D7" w:rsidRPr="00BF5140">
        <w:rPr>
          <w:rStyle w:val="EndnoteReference"/>
          <w:rFonts w:cstheme="minorHAnsi"/>
        </w:rPr>
        <w:endnoteReference w:id="8"/>
      </w:r>
      <w:r w:rsidR="005C3631" w:rsidRPr="00BF5140">
        <w:rPr>
          <w:rFonts w:cstheme="minorHAnsi"/>
        </w:rPr>
        <w:t>.</w:t>
      </w:r>
      <w:r w:rsidR="007E6B16" w:rsidRPr="00BF5140">
        <w:rPr>
          <w:rFonts w:cstheme="minorHAnsi"/>
        </w:rPr>
        <w:t xml:space="preserve"> </w:t>
      </w:r>
      <w:r w:rsidR="00BF5140" w:rsidRPr="00BF5140">
        <w:rPr>
          <w:rFonts w:cstheme="minorHAnsi"/>
        </w:rPr>
        <w:br/>
      </w:r>
      <w:bookmarkEnd w:id="0"/>
    </w:p>
    <w:sectPr w:rsidR="009E0D07" w:rsidRPr="00BF5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8072" w14:textId="77777777" w:rsidR="006E5487" w:rsidRDefault="006E5487" w:rsidP="006B044B">
      <w:pPr>
        <w:spacing w:after="0" w:line="240" w:lineRule="auto"/>
      </w:pPr>
      <w:r>
        <w:separator/>
      </w:r>
    </w:p>
  </w:endnote>
  <w:endnote w:type="continuationSeparator" w:id="0">
    <w:p w14:paraId="55F4BE47" w14:textId="77777777" w:rsidR="006E5487" w:rsidRDefault="006E5487" w:rsidP="006B044B">
      <w:pPr>
        <w:spacing w:after="0" w:line="240" w:lineRule="auto"/>
      </w:pPr>
      <w:r>
        <w:continuationSeparator/>
      </w:r>
    </w:p>
  </w:endnote>
  <w:endnote w:id="1">
    <w:p w14:paraId="2033B254" w14:textId="3E64F528" w:rsidR="006B044B" w:rsidRPr="00BF5140" w:rsidRDefault="006B044B">
      <w:pPr>
        <w:pStyle w:val="EndnoteText"/>
        <w:rPr>
          <w:sz w:val="18"/>
          <w:szCs w:val="18"/>
        </w:rPr>
      </w:pPr>
      <w:r w:rsidRPr="00BF5140">
        <w:rPr>
          <w:rStyle w:val="EndnoteReference"/>
          <w:sz w:val="18"/>
          <w:szCs w:val="18"/>
        </w:rPr>
        <w:endnoteRef/>
      </w:r>
      <w:r w:rsidRPr="00BF5140">
        <w:rPr>
          <w:sz w:val="18"/>
          <w:szCs w:val="18"/>
        </w:rPr>
        <w:t xml:space="preserve"> </w:t>
      </w:r>
      <w:r w:rsidR="00B4780F" w:rsidRPr="00BF5140">
        <w:rPr>
          <w:sz w:val="18"/>
          <w:szCs w:val="18"/>
        </w:rPr>
        <w:t>Gas market scoping study – terms of reference, AEMC, 2013</w:t>
      </w:r>
    </w:p>
  </w:endnote>
  <w:endnote w:id="2">
    <w:p w14:paraId="23F8F863" w14:textId="1364FAED" w:rsidR="00565C5C" w:rsidRPr="00BF5140" w:rsidRDefault="00CE65FE">
      <w:pPr>
        <w:pStyle w:val="EndnoteText"/>
        <w:rPr>
          <w:sz w:val="18"/>
          <w:szCs w:val="18"/>
        </w:rPr>
      </w:pPr>
      <w:r w:rsidRPr="00BF5140">
        <w:rPr>
          <w:rStyle w:val="EndnoteReference"/>
          <w:sz w:val="18"/>
          <w:szCs w:val="18"/>
        </w:rPr>
        <w:endnoteRef/>
      </w:r>
      <w:r w:rsidRPr="00BF5140">
        <w:rPr>
          <w:sz w:val="18"/>
          <w:szCs w:val="18"/>
        </w:rPr>
        <w:t xml:space="preserve"> </w:t>
      </w:r>
      <w:r w:rsidR="00565C5C" w:rsidRPr="00BF5140">
        <w:rPr>
          <w:sz w:val="18"/>
          <w:szCs w:val="18"/>
        </w:rPr>
        <w:t>Gas market scoping study – a report for the AEMC, K Lowe, July 2013</w:t>
      </w:r>
    </w:p>
  </w:endnote>
  <w:endnote w:id="3">
    <w:p w14:paraId="749E6CE4" w14:textId="08947418" w:rsidR="005D28C5" w:rsidRPr="00BF5140" w:rsidRDefault="0097652F">
      <w:pPr>
        <w:pStyle w:val="EndnoteText"/>
        <w:rPr>
          <w:sz w:val="18"/>
          <w:szCs w:val="18"/>
        </w:rPr>
      </w:pPr>
      <w:r w:rsidRPr="00BF5140">
        <w:rPr>
          <w:rStyle w:val="EndnoteReference"/>
          <w:sz w:val="18"/>
          <w:szCs w:val="18"/>
        </w:rPr>
        <w:endnoteRef/>
      </w:r>
      <w:r w:rsidRPr="00BF5140">
        <w:rPr>
          <w:sz w:val="18"/>
          <w:szCs w:val="18"/>
        </w:rPr>
        <w:t xml:space="preserve"> </w:t>
      </w:r>
      <w:r w:rsidR="00473291" w:rsidRPr="00BF5140">
        <w:rPr>
          <w:sz w:val="18"/>
          <w:szCs w:val="18"/>
        </w:rPr>
        <w:t>Report on the injection of hydrogen and biogas into gas distribution networks</w:t>
      </w:r>
      <w:r w:rsidR="00251340" w:rsidRPr="00BF5140">
        <w:rPr>
          <w:sz w:val="18"/>
          <w:szCs w:val="18"/>
        </w:rPr>
        <w:t xml:space="preserve">, Johnson Winter and Slattery, </w:t>
      </w:r>
      <w:r w:rsidR="00232651" w:rsidRPr="00BF5140">
        <w:rPr>
          <w:sz w:val="18"/>
          <w:szCs w:val="18"/>
        </w:rPr>
        <w:t>2018.</w:t>
      </w:r>
    </w:p>
  </w:endnote>
  <w:endnote w:id="4">
    <w:p w14:paraId="430198C3" w14:textId="453F9EFB" w:rsidR="00251340" w:rsidRPr="00BF5140" w:rsidRDefault="00251340">
      <w:pPr>
        <w:pStyle w:val="EndnoteText"/>
        <w:rPr>
          <w:sz w:val="18"/>
          <w:szCs w:val="18"/>
        </w:rPr>
      </w:pPr>
      <w:r w:rsidRPr="00BF5140">
        <w:rPr>
          <w:rStyle w:val="EndnoteReference"/>
          <w:sz w:val="18"/>
          <w:szCs w:val="18"/>
        </w:rPr>
        <w:endnoteRef/>
      </w:r>
      <w:r w:rsidRPr="00BF5140">
        <w:rPr>
          <w:sz w:val="18"/>
          <w:szCs w:val="18"/>
        </w:rPr>
        <w:t xml:space="preserve"> JWS</w:t>
      </w:r>
      <w:r w:rsidR="00232651" w:rsidRPr="00BF5140">
        <w:rPr>
          <w:sz w:val="18"/>
          <w:szCs w:val="18"/>
        </w:rPr>
        <w:t xml:space="preserve"> report</w:t>
      </w:r>
    </w:p>
  </w:endnote>
  <w:endnote w:id="5">
    <w:p w14:paraId="29FC9268" w14:textId="2152D4F4" w:rsidR="006636C5" w:rsidRPr="00BF5140" w:rsidRDefault="006636C5">
      <w:pPr>
        <w:pStyle w:val="EndnoteText"/>
        <w:rPr>
          <w:sz w:val="18"/>
          <w:szCs w:val="18"/>
        </w:rPr>
      </w:pPr>
      <w:r w:rsidRPr="00BF5140">
        <w:rPr>
          <w:rStyle w:val="EndnoteReference"/>
          <w:sz w:val="18"/>
          <w:szCs w:val="18"/>
        </w:rPr>
        <w:endnoteRef/>
      </w:r>
      <w:r w:rsidRPr="00BF5140">
        <w:rPr>
          <w:sz w:val="18"/>
          <w:szCs w:val="18"/>
        </w:rPr>
        <w:t xml:space="preserve"> Health of the NEM 2019, Energy Security Board, </w:t>
      </w:r>
      <w:r w:rsidR="00B50536" w:rsidRPr="00BF5140">
        <w:rPr>
          <w:sz w:val="18"/>
          <w:szCs w:val="18"/>
        </w:rPr>
        <w:t>February 2020, p40</w:t>
      </w:r>
    </w:p>
  </w:endnote>
  <w:endnote w:id="6">
    <w:p w14:paraId="230F623A" w14:textId="3F54C55F" w:rsidR="00FF3F5A" w:rsidRPr="00BF5140" w:rsidRDefault="00FF3F5A">
      <w:pPr>
        <w:pStyle w:val="EndnoteText"/>
        <w:rPr>
          <w:sz w:val="18"/>
          <w:szCs w:val="18"/>
        </w:rPr>
      </w:pPr>
      <w:r w:rsidRPr="00BF5140">
        <w:rPr>
          <w:rStyle w:val="EndnoteReference"/>
          <w:sz w:val="18"/>
          <w:szCs w:val="18"/>
        </w:rPr>
        <w:endnoteRef/>
      </w:r>
      <w:r w:rsidRPr="00BF5140">
        <w:rPr>
          <w:sz w:val="18"/>
          <w:szCs w:val="18"/>
        </w:rPr>
        <w:t xml:space="preserve"> ERC0280</w:t>
      </w:r>
      <w:r w:rsidR="00391D06" w:rsidRPr="00BF5140">
        <w:rPr>
          <w:sz w:val="18"/>
          <w:szCs w:val="18"/>
        </w:rPr>
        <w:t xml:space="preserve"> </w:t>
      </w:r>
      <w:r w:rsidR="005A4AEB" w:rsidRPr="00BF5140">
        <w:rPr>
          <w:sz w:val="18"/>
          <w:szCs w:val="18"/>
        </w:rPr>
        <w:t>Integrating Energy Storage Systems (ESS) into the National Electricity Market (NEM), AEMO, August 2019</w:t>
      </w:r>
    </w:p>
  </w:endnote>
  <w:endnote w:id="7">
    <w:p w14:paraId="57CBE5E1" w14:textId="719A1DA0" w:rsidR="00181E4A" w:rsidRPr="00BF5140" w:rsidRDefault="00181E4A">
      <w:pPr>
        <w:pStyle w:val="EndnoteText"/>
        <w:rPr>
          <w:sz w:val="18"/>
          <w:szCs w:val="18"/>
        </w:rPr>
      </w:pPr>
      <w:r w:rsidRPr="00BF5140">
        <w:rPr>
          <w:rStyle w:val="EndnoteReference"/>
          <w:sz w:val="18"/>
          <w:szCs w:val="18"/>
        </w:rPr>
        <w:endnoteRef/>
      </w:r>
      <w:r w:rsidRPr="00BF5140">
        <w:rPr>
          <w:sz w:val="18"/>
          <w:szCs w:val="18"/>
        </w:rPr>
        <w:t xml:space="preserve"> The promise of seasonal storage, DNV</w:t>
      </w:r>
      <w:r w:rsidR="007E7361" w:rsidRPr="00BF5140">
        <w:rPr>
          <w:sz w:val="18"/>
          <w:szCs w:val="18"/>
        </w:rPr>
        <w:t xml:space="preserve"> GL, 2020</w:t>
      </w:r>
    </w:p>
  </w:endnote>
  <w:endnote w:id="8">
    <w:p w14:paraId="0A527DDB" w14:textId="4B669800" w:rsidR="002311D7" w:rsidRDefault="002311D7">
      <w:pPr>
        <w:pStyle w:val="EndnoteText"/>
      </w:pPr>
      <w:r w:rsidRPr="00BF5140">
        <w:rPr>
          <w:rStyle w:val="EndnoteReference"/>
          <w:sz w:val="18"/>
          <w:szCs w:val="18"/>
        </w:rPr>
        <w:endnoteRef/>
      </w:r>
      <w:r w:rsidRPr="00BF5140">
        <w:rPr>
          <w:sz w:val="18"/>
          <w:szCs w:val="18"/>
        </w:rPr>
        <w:t xml:space="preserve"> Hydrogen Industry Legislation, Clayton Utz, </w:t>
      </w:r>
      <w:r w:rsidR="00815F24" w:rsidRPr="00BF5140">
        <w:rPr>
          <w:sz w:val="18"/>
          <w:szCs w:val="18"/>
        </w:rPr>
        <w:t>November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59178" w14:textId="77777777" w:rsidR="006E5487" w:rsidRDefault="006E5487" w:rsidP="006B044B">
      <w:pPr>
        <w:spacing w:after="0" w:line="240" w:lineRule="auto"/>
      </w:pPr>
      <w:r>
        <w:separator/>
      </w:r>
    </w:p>
  </w:footnote>
  <w:footnote w:type="continuationSeparator" w:id="0">
    <w:p w14:paraId="790094FE" w14:textId="77777777" w:rsidR="006E5487" w:rsidRDefault="006E5487" w:rsidP="006B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32D"/>
    <w:multiLevelType w:val="hybridMultilevel"/>
    <w:tmpl w:val="F060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1F5"/>
    <w:multiLevelType w:val="hybridMultilevel"/>
    <w:tmpl w:val="D92061D0"/>
    <w:lvl w:ilvl="0" w:tplc="44CA74D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2C3892"/>
    <w:multiLevelType w:val="hybridMultilevel"/>
    <w:tmpl w:val="FC04DE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F1DD7"/>
    <w:multiLevelType w:val="hybridMultilevel"/>
    <w:tmpl w:val="C3DA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4468FD"/>
    <w:multiLevelType w:val="hybridMultilevel"/>
    <w:tmpl w:val="250EF1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74097A"/>
    <w:multiLevelType w:val="hybridMultilevel"/>
    <w:tmpl w:val="33E06416"/>
    <w:lvl w:ilvl="0" w:tplc="76507C04">
      <w:start w:val="1"/>
      <w:numFmt w:val="decimal"/>
      <w:lvlText w:val="%1."/>
      <w:lvlJc w:val="left"/>
      <w:pPr>
        <w:ind w:left="680" w:hanging="34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4167"/>
    <w:rsid w:val="00000BB9"/>
    <w:rsid w:val="00003409"/>
    <w:rsid w:val="00006287"/>
    <w:rsid w:val="0000643A"/>
    <w:rsid w:val="000362FB"/>
    <w:rsid w:val="00036FD2"/>
    <w:rsid w:val="00053DC8"/>
    <w:rsid w:val="00056A91"/>
    <w:rsid w:val="00065292"/>
    <w:rsid w:val="00071D50"/>
    <w:rsid w:val="000811DF"/>
    <w:rsid w:val="000879B2"/>
    <w:rsid w:val="00087A57"/>
    <w:rsid w:val="000A1516"/>
    <w:rsid w:val="000A249F"/>
    <w:rsid w:val="000B5A52"/>
    <w:rsid w:val="000C6B7C"/>
    <w:rsid w:val="000D0FB4"/>
    <w:rsid w:val="000D4E98"/>
    <w:rsid w:val="000E4D8F"/>
    <w:rsid w:val="000E68EC"/>
    <w:rsid w:val="000F1135"/>
    <w:rsid w:val="000F1CB5"/>
    <w:rsid w:val="000F249C"/>
    <w:rsid w:val="00100618"/>
    <w:rsid w:val="00102E04"/>
    <w:rsid w:val="00105B38"/>
    <w:rsid w:val="00112A5C"/>
    <w:rsid w:val="00125D0B"/>
    <w:rsid w:val="001316FC"/>
    <w:rsid w:val="00132EF6"/>
    <w:rsid w:val="00141226"/>
    <w:rsid w:val="00146604"/>
    <w:rsid w:val="00147A2A"/>
    <w:rsid w:val="00151730"/>
    <w:rsid w:val="00156933"/>
    <w:rsid w:val="001639BA"/>
    <w:rsid w:val="00175A88"/>
    <w:rsid w:val="001808A9"/>
    <w:rsid w:val="00181E4A"/>
    <w:rsid w:val="001847FE"/>
    <w:rsid w:val="0019135C"/>
    <w:rsid w:val="0019219F"/>
    <w:rsid w:val="001947D0"/>
    <w:rsid w:val="0019549E"/>
    <w:rsid w:val="001B2D54"/>
    <w:rsid w:val="001B7D71"/>
    <w:rsid w:val="001B7E11"/>
    <w:rsid w:val="001C66FD"/>
    <w:rsid w:val="001E2B9F"/>
    <w:rsid w:val="001E6DBF"/>
    <w:rsid w:val="001F214E"/>
    <w:rsid w:val="001F6BF5"/>
    <w:rsid w:val="0020056F"/>
    <w:rsid w:val="00203F8C"/>
    <w:rsid w:val="00213C06"/>
    <w:rsid w:val="0021687C"/>
    <w:rsid w:val="00222D63"/>
    <w:rsid w:val="00226521"/>
    <w:rsid w:val="002311D7"/>
    <w:rsid w:val="00232651"/>
    <w:rsid w:val="00245422"/>
    <w:rsid w:val="002457AB"/>
    <w:rsid w:val="00245941"/>
    <w:rsid w:val="00250B08"/>
    <w:rsid w:val="002511F3"/>
    <w:rsid w:val="00251340"/>
    <w:rsid w:val="00254377"/>
    <w:rsid w:val="00273C26"/>
    <w:rsid w:val="00277A2E"/>
    <w:rsid w:val="002921C9"/>
    <w:rsid w:val="002A3D5F"/>
    <w:rsid w:val="002B7514"/>
    <w:rsid w:val="002C0534"/>
    <w:rsid w:val="002D0D82"/>
    <w:rsid w:val="002D3DA7"/>
    <w:rsid w:val="002D4A79"/>
    <w:rsid w:val="002D74F6"/>
    <w:rsid w:val="002E1883"/>
    <w:rsid w:val="002E3EAD"/>
    <w:rsid w:val="002F6042"/>
    <w:rsid w:val="003053FB"/>
    <w:rsid w:val="00305B19"/>
    <w:rsid w:val="00311A73"/>
    <w:rsid w:val="00312BE9"/>
    <w:rsid w:val="00314DEB"/>
    <w:rsid w:val="00316FC4"/>
    <w:rsid w:val="00325CDA"/>
    <w:rsid w:val="00330D0C"/>
    <w:rsid w:val="0033323B"/>
    <w:rsid w:val="0033391D"/>
    <w:rsid w:val="003478DA"/>
    <w:rsid w:val="0035525C"/>
    <w:rsid w:val="0036002F"/>
    <w:rsid w:val="00373ADC"/>
    <w:rsid w:val="00373E2A"/>
    <w:rsid w:val="00381A4F"/>
    <w:rsid w:val="00384CA7"/>
    <w:rsid w:val="00391D06"/>
    <w:rsid w:val="00392E0E"/>
    <w:rsid w:val="00393CDF"/>
    <w:rsid w:val="00397736"/>
    <w:rsid w:val="003A4FDD"/>
    <w:rsid w:val="003A7BB2"/>
    <w:rsid w:val="003B1F5C"/>
    <w:rsid w:val="003B44DE"/>
    <w:rsid w:val="003C149B"/>
    <w:rsid w:val="003C27F4"/>
    <w:rsid w:val="003C2D0D"/>
    <w:rsid w:val="003C7E33"/>
    <w:rsid w:val="003D0747"/>
    <w:rsid w:val="003D51E5"/>
    <w:rsid w:val="003E6616"/>
    <w:rsid w:val="00400583"/>
    <w:rsid w:val="0041043D"/>
    <w:rsid w:val="004119FB"/>
    <w:rsid w:val="00423309"/>
    <w:rsid w:val="00423727"/>
    <w:rsid w:val="00431ED3"/>
    <w:rsid w:val="00432262"/>
    <w:rsid w:val="00436A69"/>
    <w:rsid w:val="00443108"/>
    <w:rsid w:val="0045294C"/>
    <w:rsid w:val="00456B4C"/>
    <w:rsid w:val="0046290A"/>
    <w:rsid w:val="0046308E"/>
    <w:rsid w:val="004633BA"/>
    <w:rsid w:val="004637E6"/>
    <w:rsid w:val="004656A6"/>
    <w:rsid w:val="00473291"/>
    <w:rsid w:val="00475FFC"/>
    <w:rsid w:val="004807AD"/>
    <w:rsid w:val="00481C61"/>
    <w:rsid w:val="00493327"/>
    <w:rsid w:val="004A0B6D"/>
    <w:rsid w:val="004A17F1"/>
    <w:rsid w:val="004A41BD"/>
    <w:rsid w:val="004A502B"/>
    <w:rsid w:val="004A546A"/>
    <w:rsid w:val="004A651E"/>
    <w:rsid w:val="004A6B16"/>
    <w:rsid w:val="004B0296"/>
    <w:rsid w:val="004B3659"/>
    <w:rsid w:val="004B3D16"/>
    <w:rsid w:val="004D0781"/>
    <w:rsid w:val="004D112A"/>
    <w:rsid w:val="004D3495"/>
    <w:rsid w:val="004D457D"/>
    <w:rsid w:val="004D592E"/>
    <w:rsid w:val="004E2149"/>
    <w:rsid w:val="004F3111"/>
    <w:rsid w:val="004F5738"/>
    <w:rsid w:val="00503BFE"/>
    <w:rsid w:val="005228A0"/>
    <w:rsid w:val="0052507C"/>
    <w:rsid w:val="00540328"/>
    <w:rsid w:val="005434E9"/>
    <w:rsid w:val="00565C5C"/>
    <w:rsid w:val="00566829"/>
    <w:rsid w:val="00571E18"/>
    <w:rsid w:val="00572625"/>
    <w:rsid w:val="00572646"/>
    <w:rsid w:val="005830E4"/>
    <w:rsid w:val="00585A5F"/>
    <w:rsid w:val="005910BE"/>
    <w:rsid w:val="005971BC"/>
    <w:rsid w:val="005A019F"/>
    <w:rsid w:val="005A10F4"/>
    <w:rsid w:val="005A4AEB"/>
    <w:rsid w:val="005A77C3"/>
    <w:rsid w:val="005C3631"/>
    <w:rsid w:val="005C394B"/>
    <w:rsid w:val="005C53C9"/>
    <w:rsid w:val="005D28C5"/>
    <w:rsid w:val="005F4AD2"/>
    <w:rsid w:val="005F52EE"/>
    <w:rsid w:val="005F7F02"/>
    <w:rsid w:val="006136DC"/>
    <w:rsid w:val="00636CDC"/>
    <w:rsid w:val="0064248B"/>
    <w:rsid w:val="00646448"/>
    <w:rsid w:val="00650708"/>
    <w:rsid w:val="00654858"/>
    <w:rsid w:val="006609E4"/>
    <w:rsid w:val="006636C5"/>
    <w:rsid w:val="00663C45"/>
    <w:rsid w:val="0066640E"/>
    <w:rsid w:val="00670675"/>
    <w:rsid w:val="006712EE"/>
    <w:rsid w:val="006725C2"/>
    <w:rsid w:val="0067410C"/>
    <w:rsid w:val="00685268"/>
    <w:rsid w:val="00687424"/>
    <w:rsid w:val="00691F00"/>
    <w:rsid w:val="006A7366"/>
    <w:rsid w:val="006B044B"/>
    <w:rsid w:val="006B1C09"/>
    <w:rsid w:val="006C0D7E"/>
    <w:rsid w:val="006C3851"/>
    <w:rsid w:val="006C5564"/>
    <w:rsid w:val="006C63AB"/>
    <w:rsid w:val="006C7350"/>
    <w:rsid w:val="006C7DDD"/>
    <w:rsid w:val="006D42CC"/>
    <w:rsid w:val="006E0102"/>
    <w:rsid w:val="006E1569"/>
    <w:rsid w:val="006E2E35"/>
    <w:rsid w:val="006E5487"/>
    <w:rsid w:val="006F33D5"/>
    <w:rsid w:val="006F5E60"/>
    <w:rsid w:val="00701834"/>
    <w:rsid w:val="00706DA6"/>
    <w:rsid w:val="007318D8"/>
    <w:rsid w:val="00742815"/>
    <w:rsid w:val="00747629"/>
    <w:rsid w:val="00760537"/>
    <w:rsid w:val="00762FFC"/>
    <w:rsid w:val="00766118"/>
    <w:rsid w:val="00796A5C"/>
    <w:rsid w:val="007B0088"/>
    <w:rsid w:val="007B044C"/>
    <w:rsid w:val="007B2B1B"/>
    <w:rsid w:val="007B2C3E"/>
    <w:rsid w:val="007D59C0"/>
    <w:rsid w:val="007D62C9"/>
    <w:rsid w:val="007E1788"/>
    <w:rsid w:val="007E4A13"/>
    <w:rsid w:val="007E5FF2"/>
    <w:rsid w:val="007E6367"/>
    <w:rsid w:val="007E6B16"/>
    <w:rsid w:val="007E7361"/>
    <w:rsid w:val="007F0415"/>
    <w:rsid w:val="007F0507"/>
    <w:rsid w:val="007F583A"/>
    <w:rsid w:val="00804490"/>
    <w:rsid w:val="008103EE"/>
    <w:rsid w:val="00812A5E"/>
    <w:rsid w:val="00812BA8"/>
    <w:rsid w:val="00815F24"/>
    <w:rsid w:val="00826ACA"/>
    <w:rsid w:val="00827DC1"/>
    <w:rsid w:val="0083096C"/>
    <w:rsid w:val="00833FF7"/>
    <w:rsid w:val="00834167"/>
    <w:rsid w:val="008510F1"/>
    <w:rsid w:val="0085502D"/>
    <w:rsid w:val="0085678A"/>
    <w:rsid w:val="008619D2"/>
    <w:rsid w:val="00867249"/>
    <w:rsid w:val="00870737"/>
    <w:rsid w:val="008724B1"/>
    <w:rsid w:val="008775CB"/>
    <w:rsid w:val="008804C7"/>
    <w:rsid w:val="00882176"/>
    <w:rsid w:val="0088251C"/>
    <w:rsid w:val="00887B6D"/>
    <w:rsid w:val="00896202"/>
    <w:rsid w:val="008A1AFE"/>
    <w:rsid w:val="008A3519"/>
    <w:rsid w:val="008B320C"/>
    <w:rsid w:val="008B6DB0"/>
    <w:rsid w:val="008C1324"/>
    <w:rsid w:val="008C6032"/>
    <w:rsid w:val="008D0D55"/>
    <w:rsid w:val="008E0F9E"/>
    <w:rsid w:val="008E48CB"/>
    <w:rsid w:val="008E780D"/>
    <w:rsid w:val="008F05C3"/>
    <w:rsid w:val="00902F75"/>
    <w:rsid w:val="00903A65"/>
    <w:rsid w:val="00906144"/>
    <w:rsid w:val="00910758"/>
    <w:rsid w:val="00910CD7"/>
    <w:rsid w:val="009119A3"/>
    <w:rsid w:val="00911FC3"/>
    <w:rsid w:val="00917766"/>
    <w:rsid w:val="009214A7"/>
    <w:rsid w:val="009221FD"/>
    <w:rsid w:val="0092738E"/>
    <w:rsid w:val="00927BDE"/>
    <w:rsid w:val="00933285"/>
    <w:rsid w:val="0093622F"/>
    <w:rsid w:val="00941B52"/>
    <w:rsid w:val="00945346"/>
    <w:rsid w:val="009552B3"/>
    <w:rsid w:val="0096187B"/>
    <w:rsid w:val="00963596"/>
    <w:rsid w:val="00966331"/>
    <w:rsid w:val="00967749"/>
    <w:rsid w:val="00967779"/>
    <w:rsid w:val="00970A6A"/>
    <w:rsid w:val="00970FE1"/>
    <w:rsid w:val="0097194E"/>
    <w:rsid w:val="00974CA9"/>
    <w:rsid w:val="0097652F"/>
    <w:rsid w:val="009814EE"/>
    <w:rsid w:val="00987CE0"/>
    <w:rsid w:val="009960DE"/>
    <w:rsid w:val="00997BA7"/>
    <w:rsid w:val="009A7792"/>
    <w:rsid w:val="009A7A43"/>
    <w:rsid w:val="009C7A34"/>
    <w:rsid w:val="009D43EB"/>
    <w:rsid w:val="009D53D9"/>
    <w:rsid w:val="009E044C"/>
    <w:rsid w:val="009E0D07"/>
    <w:rsid w:val="009E4C88"/>
    <w:rsid w:val="009F4DAD"/>
    <w:rsid w:val="00A02C47"/>
    <w:rsid w:val="00A02F83"/>
    <w:rsid w:val="00A036AF"/>
    <w:rsid w:val="00A03E15"/>
    <w:rsid w:val="00A05BA7"/>
    <w:rsid w:val="00A13F0B"/>
    <w:rsid w:val="00A20E8E"/>
    <w:rsid w:val="00A30AB7"/>
    <w:rsid w:val="00A46A22"/>
    <w:rsid w:val="00A576AC"/>
    <w:rsid w:val="00A6171D"/>
    <w:rsid w:val="00A65203"/>
    <w:rsid w:val="00A720B6"/>
    <w:rsid w:val="00A73547"/>
    <w:rsid w:val="00A75BCA"/>
    <w:rsid w:val="00A76073"/>
    <w:rsid w:val="00A85FF5"/>
    <w:rsid w:val="00A86EF9"/>
    <w:rsid w:val="00A87BF3"/>
    <w:rsid w:val="00A902A6"/>
    <w:rsid w:val="00A94D23"/>
    <w:rsid w:val="00A9622F"/>
    <w:rsid w:val="00AA59A0"/>
    <w:rsid w:val="00AB4E9E"/>
    <w:rsid w:val="00AB66F1"/>
    <w:rsid w:val="00AB73E5"/>
    <w:rsid w:val="00AC13B4"/>
    <w:rsid w:val="00AC3F8D"/>
    <w:rsid w:val="00AC4F0D"/>
    <w:rsid w:val="00AD4974"/>
    <w:rsid w:val="00AD654B"/>
    <w:rsid w:val="00AE6943"/>
    <w:rsid w:val="00AF7E1A"/>
    <w:rsid w:val="00B03FC2"/>
    <w:rsid w:val="00B0750C"/>
    <w:rsid w:val="00B11884"/>
    <w:rsid w:val="00B13013"/>
    <w:rsid w:val="00B21B0F"/>
    <w:rsid w:val="00B26EF5"/>
    <w:rsid w:val="00B304B6"/>
    <w:rsid w:val="00B3504D"/>
    <w:rsid w:val="00B419FD"/>
    <w:rsid w:val="00B46D05"/>
    <w:rsid w:val="00B4780F"/>
    <w:rsid w:val="00B50536"/>
    <w:rsid w:val="00B62214"/>
    <w:rsid w:val="00B6243E"/>
    <w:rsid w:val="00B7057F"/>
    <w:rsid w:val="00B7257D"/>
    <w:rsid w:val="00B725E3"/>
    <w:rsid w:val="00B7287A"/>
    <w:rsid w:val="00B833F2"/>
    <w:rsid w:val="00B87426"/>
    <w:rsid w:val="00B90B35"/>
    <w:rsid w:val="00B92451"/>
    <w:rsid w:val="00B92786"/>
    <w:rsid w:val="00B92FB0"/>
    <w:rsid w:val="00B957E7"/>
    <w:rsid w:val="00B96137"/>
    <w:rsid w:val="00BA0CC9"/>
    <w:rsid w:val="00BA1B10"/>
    <w:rsid w:val="00BA617B"/>
    <w:rsid w:val="00BC7A45"/>
    <w:rsid w:val="00BD2AC8"/>
    <w:rsid w:val="00BD388E"/>
    <w:rsid w:val="00BD7D4D"/>
    <w:rsid w:val="00BE2066"/>
    <w:rsid w:val="00BE253D"/>
    <w:rsid w:val="00BF1CA1"/>
    <w:rsid w:val="00BF5140"/>
    <w:rsid w:val="00C023E5"/>
    <w:rsid w:val="00C051AB"/>
    <w:rsid w:val="00C14671"/>
    <w:rsid w:val="00C16212"/>
    <w:rsid w:val="00C23414"/>
    <w:rsid w:val="00C31215"/>
    <w:rsid w:val="00C32E5A"/>
    <w:rsid w:val="00C350E4"/>
    <w:rsid w:val="00C37DE2"/>
    <w:rsid w:val="00C44770"/>
    <w:rsid w:val="00C44BB9"/>
    <w:rsid w:val="00C47738"/>
    <w:rsid w:val="00C50AF1"/>
    <w:rsid w:val="00C53D52"/>
    <w:rsid w:val="00C53F60"/>
    <w:rsid w:val="00C56A17"/>
    <w:rsid w:val="00C6256B"/>
    <w:rsid w:val="00C70B97"/>
    <w:rsid w:val="00C76CD8"/>
    <w:rsid w:val="00C7739E"/>
    <w:rsid w:val="00C86FD8"/>
    <w:rsid w:val="00C93034"/>
    <w:rsid w:val="00CB13F5"/>
    <w:rsid w:val="00CB2843"/>
    <w:rsid w:val="00CB34F6"/>
    <w:rsid w:val="00CB34FA"/>
    <w:rsid w:val="00CB3C13"/>
    <w:rsid w:val="00CB4817"/>
    <w:rsid w:val="00CB4A1D"/>
    <w:rsid w:val="00CC185C"/>
    <w:rsid w:val="00CC541B"/>
    <w:rsid w:val="00CD12DC"/>
    <w:rsid w:val="00CE01B5"/>
    <w:rsid w:val="00CE0650"/>
    <w:rsid w:val="00CE1A8D"/>
    <w:rsid w:val="00CE2C76"/>
    <w:rsid w:val="00CE65FE"/>
    <w:rsid w:val="00CE7D2E"/>
    <w:rsid w:val="00CF7820"/>
    <w:rsid w:val="00D00204"/>
    <w:rsid w:val="00D30F30"/>
    <w:rsid w:val="00D36FDD"/>
    <w:rsid w:val="00D37B1F"/>
    <w:rsid w:val="00D41DD4"/>
    <w:rsid w:val="00D63B53"/>
    <w:rsid w:val="00D67506"/>
    <w:rsid w:val="00D75A5B"/>
    <w:rsid w:val="00D765DE"/>
    <w:rsid w:val="00D8079A"/>
    <w:rsid w:val="00D807D2"/>
    <w:rsid w:val="00D84857"/>
    <w:rsid w:val="00D84BEE"/>
    <w:rsid w:val="00D9340A"/>
    <w:rsid w:val="00DB2191"/>
    <w:rsid w:val="00DB5E52"/>
    <w:rsid w:val="00DC2ED8"/>
    <w:rsid w:val="00DC69CD"/>
    <w:rsid w:val="00DD23AB"/>
    <w:rsid w:val="00DD78C2"/>
    <w:rsid w:val="00DE07B1"/>
    <w:rsid w:val="00DE1CBB"/>
    <w:rsid w:val="00DF0331"/>
    <w:rsid w:val="00DF0BDE"/>
    <w:rsid w:val="00DF24BA"/>
    <w:rsid w:val="00DF2A56"/>
    <w:rsid w:val="00E00E74"/>
    <w:rsid w:val="00E01A2F"/>
    <w:rsid w:val="00E0280A"/>
    <w:rsid w:val="00E12600"/>
    <w:rsid w:val="00E14C91"/>
    <w:rsid w:val="00E206C6"/>
    <w:rsid w:val="00E30A4A"/>
    <w:rsid w:val="00E32F48"/>
    <w:rsid w:val="00E415E7"/>
    <w:rsid w:val="00E4227D"/>
    <w:rsid w:val="00E501BC"/>
    <w:rsid w:val="00E6369C"/>
    <w:rsid w:val="00E72DCD"/>
    <w:rsid w:val="00E73A55"/>
    <w:rsid w:val="00E753E1"/>
    <w:rsid w:val="00E80CD7"/>
    <w:rsid w:val="00E869EE"/>
    <w:rsid w:val="00E91A8B"/>
    <w:rsid w:val="00E9248F"/>
    <w:rsid w:val="00E95288"/>
    <w:rsid w:val="00E9535B"/>
    <w:rsid w:val="00E973A6"/>
    <w:rsid w:val="00EA282D"/>
    <w:rsid w:val="00EB6149"/>
    <w:rsid w:val="00EC0C1C"/>
    <w:rsid w:val="00EC14EB"/>
    <w:rsid w:val="00EC2EA1"/>
    <w:rsid w:val="00EC6602"/>
    <w:rsid w:val="00EC67F4"/>
    <w:rsid w:val="00ED5C4A"/>
    <w:rsid w:val="00ED6BD9"/>
    <w:rsid w:val="00ED6E40"/>
    <w:rsid w:val="00ED7F57"/>
    <w:rsid w:val="00EE7A35"/>
    <w:rsid w:val="00EF3CD6"/>
    <w:rsid w:val="00EF5739"/>
    <w:rsid w:val="00EF6257"/>
    <w:rsid w:val="00EF7AE7"/>
    <w:rsid w:val="00F102CD"/>
    <w:rsid w:val="00F1157D"/>
    <w:rsid w:val="00F2463E"/>
    <w:rsid w:val="00F24B93"/>
    <w:rsid w:val="00F35B80"/>
    <w:rsid w:val="00F41CEA"/>
    <w:rsid w:val="00F425E8"/>
    <w:rsid w:val="00F43732"/>
    <w:rsid w:val="00F44172"/>
    <w:rsid w:val="00F44222"/>
    <w:rsid w:val="00F53A56"/>
    <w:rsid w:val="00F5542B"/>
    <w:rsid w:val="00F57BB9"/>
    <w:rsid w:val="00F638F0"/>
    <w:rsid w:val="00F64995"/>
    <w:rsid w:val="00F708ED"/>
    <w:rsid w:val="00F71F6D"/>
    <w:rsid w:val="00F729B8"/>
    <w:rsid w:val="00F7746C"/>
    <w:rsid w:val="00F84727"/>
    <w:rsid w:val="00F84A15"/>
    <w:rsid w:val="00F85CD4"/>
    <w:rsid w:val="00F86624"/>
    <w:rsid w:val="00F93333"/>
    <w:rsid w:val="00F94BD0"/>
    <w:rsid w:val="00F94EA3"/>
    <w:rsid w:val="00F961F0"/>
    <w:rsid w:val="00FA1EA4"/>
    <w:rsid w:val="00FB08A1"/>
    <w:rsid w:val="00FB254D"/>
    <w:rsid w:val="00FB2774"/>
    <w:rsid w:val="00FB3B4B"/>
    <w:rsid w:val="00FB606C"/>
    <w:rsid w:val="00FB70D3"/>
    <w:rsid w:val="00FB7648"/>
    <w:rsid w:val="00FB7CB3"/>
    <w:rsid w:val="00FC2451"/>
    <w:rsid w:val="00FC508A"/>
    <w:rsid w:val="00FC51FC"/>
    <w:rsid w:val="00FD341E"/>
    <w:rsid w:val="00FE0517"/>
    <w:rsid w:val="00FE50E3"/>
    <w:rsid w:val="00FE61EF"/>
    <w:rsid w:val="00FE71DD"/>
    <w:rsid w:val="00FF30B0"/>
    <w:rsid w:val="00FF3F5A"/>
    <w:rsid w:val="00FF5A53"/>
    <w:rsid w:val="00FF6C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1F11"/>
  <w15:chartTrackingRefBased/>
  <w15:docId w15:val="{C2805895-E6FD-4BF7-A081-B4024CB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F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5F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07"/>
    <w:pPr>
      <w:ind w:left="720"/>
      <w:contextualSpacing/>
    </w:pPr>
  </w:style>
  <w:style w:type="character" w:customStyle="1" w:styleId="Heading1Char">
    <w:name w:val="Heading 1 Char"/>
    <w:basedOn w:val="DefaultParagraphFont"/>
    <w:link w:val="Heading1"/>
    <w:uiPriority w:val="9"/>
    <w:rsid w:val="00A85F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F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5FF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C394B"/>
    <w:rPr>
      <w:sz w:val="16"/>
      <w:szCs w:val="16"/>
    </w:rPr>
  </w:style>
  <w:style w:type="paragraph" w:styleId="CommentText">
    <w:name w:val="annotation text"/>
    <w:basedOn w:val="Normal"/>
    <w:link w:val="CommentTextChar"/>
    <w:uiPriority w:val="99"/>
    <w:semiHidden/>
    <w:unhideWhenUsed/>
    <w:rsid w:val="005C394B"/>
    <w:pPr>
      <w:spacing w:line="240" w:lineRule="auto"/>
    </w:pPr>
    <w:rPr>
      <w:sz w:val="20"/>
      <w:szCs w:val="20"/>
    </w:rPr>
  </w:style>
  <w:style w:type="character" w:customStyle="1" w:styleId="CommentTextChar">
    <w:name w:val="Comment Text Char"/>
    <w:basedOn w:val="DefaultParagraphFont"/>
    <w:link w:val="CommentText"/>
    <w:uiPriority w:val="99"/>
    <w:semiHidden/>
    <w:rsid w:val="005C394B"/>
    <w:rPr>
      <w:sz w:val="20"/>
      <w:szCs w:val="20"/>
    </w:rPr>
  </w:style>
  <w:style w:type="paragraph" w:styleId="CommentSubject">
    <w:name w:val="annotation subject"/>
    <w:basedOn w:val="CommentText"/>
    <w:next w:val="CommentText"/>
    <w:link w:val="CommentSubjectChar"/>
    <w:uiPriority w:val="99"/>
    <w:semiHidden/>
    <w:unhideWhenUsed/>
    <w:rsid w:val="005C394B"/>
    <w:rPr>
      <w:b/>
      <w:bCs/>
    </w:rPr>
  </w:style>
  <w:style w:type="character" w:customStyle="1" w:styleId="CommentSubjectChar">
    <w:name w:val="Comment Subject Char"/>
    <w:basedOn w:val="CommentTextChar"/>
    <w:link w:val="CommentSubject"/>
    <w:uiPriority w:val="99"/>
    <w:semiHidden/>
    <w:rsid w:val="005C394B"/>
    <w:rPr>
      <w:b/>
      <w:bCs/>
      <w:sz w:val="20"/>
      <w:szCs w:val="20"/>
    </w:rPr>
  </w:style>
  <w:style w:type="paragraph" w:styleId="BalloonText">
    <w:name w:val="Balloon Text"/>
    <w:basedOn w:val="Normal"/>
    <w:link w:val="BalloonTextChar"/>
    <w:uiPriority w:val="99"/>
    <w:semiHidden/>
    <w:unhideWhenUsed/>
    <w:rsid w:val="005C3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4B"/>
    <w:rPr>
      <w:rFonts w:ascii="Segoe UI" w:hAnsi="Segoe UI" w:cs="Segoe UI"/>
      <w:sz w:val="18"/>
      <w:szCs w:val="18"/>
    </w:rPr>
  </w:style>
  <w:style w:type="paragraph" w:styleId="EndnoteText">
    <w:name w:val="endnote text"/>
    <w:basedOn w:val="Normal"/>
    <w:link w:val="EndnoteTextChar"/>
    <w:uiPriority w:val="99"/>
    <w:semiHidden/>
    <w:unhideWhenUsed/>
    <w:rsid w:val="006B04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44B"/>
    <w:rPr>
      <w:sz w:val="20"/>
      <w:szCs w:val="20"/>
    </w:rPr>
  </w:style>
  <w:style w:type="character" w:styleId="EndnoteReference">
    <w:name w:val="endnote reference"/>
    <w:basedOn w:val="DefaultParagraphFont"/>
    <w:uiPriority w:val="99"/>
    <w:semiHidden/>
    <w:unhideWhenUsed/>
    <w:rsid w:val="006B044B"/>
    <w:rPr>
      <w:vertAlign w:val="superscript"/>
    </w:rPr>
  </w:style>
  <w:style w:type="paragraph" w:styleId="FootnoteText">
    <w:name w:val="footnote text"/>
    <w:basedOn w:val="Normal"/>
    <w:link w:val="FootnoteTextChar"/>
    <w:uiPriority w:val="99"/>
    <w:semiHidden/>
    <w:unhideWhenUsed/>
    <w:rsid w:val="002513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340"/>
    <w:rPr>
      <w:sz w:val="20"/>
      <w:szCs w:val="20"/>
    </w:rPr>
  </w:style>
  <w:style w:type="character" w:styleId="FootnoteReference">
    <w:name w:val="footnote reference"/>
    <w:basedOn w:val="DefaultParagraphFont"/>
    <w:uiPriority w:val="99"/>
    <w:semiHidden/>
    <w:unhideWhenUsed/>
    <w:rsid w:val="00251340"/>
    <w:rPr>
      <w:vertAlign w:val="superscript"/>
    </w:rPr>
  </w:style>
  <w:style w:type="character" w:styleId="Hyperlink">
    <w:name w:val="Hyperlink"/>
    <w:basedOn w:val="DefaultParagraphFont"/>
    <w:uiPriority w:val="99"/>
    <w:unhideWhenUsed/>
    <w:rsid w:val="00AB66F1"/>
    <w:rPr>
      <w:color w:val="0000FF" w:themeColor="hyperlink"/>
      <w:u w:val="single"/>
    </w:rPr>
  </w:style>
  <w:style w:type="character" w:styleId="UnresolvedMention">
    <w:name w:val="Unresolved Mention"/>
    <w:basedOn w:val="DefaultParagraphFont"/>
    <w:uiPriority w:val="99"/>
    <w:semiHidden/>
    <w:unhideWhenUsed/>
    <w:rsid w:val="00AB66F1"/>
    <w:rPr>
      <w:color w:val="605E5C"/>
      <w:shd w:val="clear" w:color="auto" w:fill="E1DFDD"/>
    </w:rPr>
  </w:style>
  <w:style w:type="table" w:styleId="TableGrid">
    <w:name w:val="Table Grid"/>
    <w:basedOn w:val="TableNormal"/>
    <w:uiPriority w:val="59"/>
    <w:rsid w:val="007B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park-mainz.d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ystock.com/about-energystock/the-hydrogen-project-hy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4498E5-1848-461D-9FC1-D094E5D6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Donoghue</dc:creator>
  <cp:keywords/>
  <dc:description/>
  <cp:lastModifiedBy>LOWE Jamie (ENGIE in Australia)</cp:lastModifiedBy>
  <cp:revision>2</cp:revision>
  <dcterms:created xsi:type="dcterms:W3CDTF">2020-05-13T23:19:00Z</dcterms:created>
  <dcterms:modified xsi:type="dcterms:W3CDTF">2020-05-13T23:19:00Z</dcterms:modified>
</cp:coreProperties>
</file>